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1B8" w:rsidRPr="00BA31B8" w:rsidRDefault="00683050" w:rsidP="00BA31B8">
      <w:pPr>
        <w:pStyle w:val="Nagwek2"/>
        <w:spacing w:line="360" w:lineRule="auto"/>
        <w:ind w:right="-1559" w:firstLine="0"/>
        <w:rPr>
          <w:rFonts w:asciiTheme="minorHAnsi" w:hAnsiTheme="minorHAnsi"/>
          <w:bCs/>
          <w:sz w:val="24"/>
          <w:u w:val="single"/>
        </w:rPr>
      </w:pPr>
      <w:r w:rsidRPr="000E32B0">
        <w:rPr>
          <w:rFonts w:asciiTheme="minorHAnsi" w:hAnsiTheme="minorHAnsi"/>
          <w:sz w:val="24"/>
          <w:u w:val="single"/>
        </w:rPr>
        <w:t>Załącznik nr 1 do Kryteriów wyboru projektów</w:t>
      </w:r>
      <w:r w:rsidR="000E32B0" w:rsidRPr="000E32B0">
        <w:rPr>
          <w:rFonts w:asciiTheme="minorHAnsi" w:hAnsiTheme="minorHAnsi"/>
          <w:bCs/>
          <w:sz w:val="24"/>
          <w:u w:val="single"/>
        </w:rPr>
        <w:t>. Definicje wskaźników produktu i rezultatu.</w:t>
      </w:r>
    </w:p>
    <w:p w:rsidR="00BA31B8" w:rsidRDefault="00BA31B8" w:rsidP="000E32B0">
      <w:pPr>
        <w:spacing w:after="0" w:line="240" w:lineRule="auto"/>
        <w:ind w:right="-1559"/>
        <w:jc w:val="both"/>
        <w:rPr>
          <w:rFonts w:asciiTheme="minorHAnsi" w:hAnsiTheme="minorHAnsi"/>
          <w:b/>
        </w:rPr>
      </w:pPr>
    </w:p>
    <w:p w:rsidR="002D6C55" w:rsidRPr="0073298B" w:rsidRDefault="002D6C55" w:rsidP="00C2408C">
      <w:pPr>
        <w:spacing w:after="60" w:line="240" w:lineRule="auto"/>
        <w:ind w:right="-1559"/>
        <w:jc w:val="both"/>
      </w:pPr>
      <w:r w:rsidRPr="002D6C55">
        <w:rPr>
          <w:b/>
        </w:rPr>
        <w:t>Działanie:</w:t>
      </w:r>
      <w:r w:rsidRPr="002D6C55">
        <w:t xml:space="preserve">  3</w:t>
      </w:r>
      <w:r w:rsidRPr="0073298B">
        <w:t>.</w:t>
      </w:r>
      <w:r w:rsidR="0073298B" w:rsidRPr="0073298B">
        <w:t>4</w:t>
      </w:r>
      <w:r w:rsidRPr="0073298B">
        <w:t xml:space="preserve"> </w:t>
      </w:r>
      <w:r w:rsidR="0073298B" w:rsidRPr="0073298B">
        <w:t>Zrównoważona mobilność miejska i promowanie strategii niskoemisyjnych</w:t>
      </w:r>
    </w:p>
    <w:p w:rsidR="002D6C55" w:rsidRPr="0073298B" w:rsidRDefault="002D6C55" w:rsidP="00C2408C">
      <w:pPr>
        <w:spacing w:after="60" w:line="240" w:lineRule="auto"/>
        <w:ind w:right="-1559"/>
        <w:jc w:val="both"/>
      </w:pPr>
      <w:r w:rsidRPr="0073298B">
        <w:rPr>
          <w:b/>
        </w:rPr>
        <w:t>Poddziałanie:</w:t>
      </w:r>
      <w:r w:rsidRPr="0073298B">
        <w:t xml:space="preserve">  </w:t>
      </w:r>
      <w:r w:rsidR="0073298B" w:rsidRPr="0073298B">
        <w:t>n/d</w:t>
      </w:r>
    </w:p>
    <w:p w:rsidR="002D6C55" w:rsidRPr="0073298B" w:rsidRDefault="002D6C55" w:rsidP="00C2408C">
      <w:pPr>
        <w:spacing w:after="60" w:line="240" w:lineRule="auto"/>
        <w:ind w:right="-1559"/>
        <w:jc w:val="both"/>
      </w:pPr>
      <w:r w:rsidRPr="0073298B">
        <w:rPr>
          <w:b/>
        </w:rPr>
        <w:t>Oś priorytetowa:</w:t>
      </w:r>
      <w:r w:rsidRPr="0073298B">
        <w:t xml:space="preserve"> 3 Efektywność energetyczna i gospodarka niskoemisyjna w regionie</w:t>
      </w:r>
    </w:p>
    <w:p w:rsidR="002D6C55" w:rsidRPr="0073298B" w:rsidRDefault="002D6C55" w:rsidP="00C2408C">
      <w:pPr>
        <w:spacing w:after="60" w:line="240" w:lineRule="auto"/>
        <w:ind w:right="-1559"/>
        <w:jc w:val="both"/>
        <w:rPr>
          <w:color w:val="000000"/>
        </w:rPr>
      </w:pPr>
      <w:r w:rsidRPr="0073298B">
        <w:rPr>
          <w:b/>
          <w:color w:val="000000"/>
        </w:rPr>
        <w:t>Priorytet:</w:t>
      </w:r>
      <w:r w:rsidRPr="0073298B">
        <w:rPr>
          <w:color w:val="000000"/>
        </w:rPr>
        <w:t xml:space="preserve"> 4e </w:t>
      </w:r>
      <w:r w:rsidRPr="0073298B">
        <w:rPr>
          <w:rFonts w:cs="Garamond,Bold"/>
          <w:bCs/>
          <w:color w:val="000000"/>
          <w:lang w:eastAsia="pl-PL"/>
        </w:rPr>
        <w:t>Promowanie strategii niskoemisyjnych dla wszystkich rodzajów</w:t>
      </w:r>
      <w:r w:rsidRPr="0073298B">
        <w:rPr>
          <w:color w:val="000000"/>
        </w:rPr>
        <w:t xml:space="preserve"> </w:t>
      </w:r>
      <w:r w:rsidRPr="0073298B">
        <w:rPr>
          <w:rFonts w:cs="Garamond,Bold"/>
          <w:bCs/>
          <w:color w:val="000000"/>
          <w:lang w:eastAsia="pl-PL"/>
        </w:rPr>
        <w:t xml:space="preserve">terytoriów, </w:t>
      </w:r>
      <w:r w:rsidRPr="0073298B">
        <w:rPr>
          <w:rFonts w:cs="Garamond,Bold"/>
          <w:bCs/>
          <w:color w:val="000000"/>
          <w:lang w:eastAsia="pl-PL"/>
        </w:rPr>
        <w:br/>
        <w:t>w szczególności dla obszarów miejskich, w tym wspieranie zrównoważonej</w:t>
      </w:r>
      <w:r w:rsidRPr="0073298B">
        <w:rPr>
          <w:color w:val="000000"/>
        </w:rPr>
        <w:t xml:space="preserve"> </w:t>
      </w:r>
      <w:r w:rsidRPr="0073298B">
        <w:rPr>
          <w:rFonts w:cs="Garamond,Bold"/>
          <w:bCs/>
          <w:color w:val="000000"/>
          <w:lang w:eastAsia="pl-PL"/>
        </w:rPr>
        <w:t>multimodalnej mobilności miejskiej i działań adaptacyjnych mających oddziaływanie</w:t>
      </w:r>
      <w:r w:rsidRPr="0073298B">
        <w:rPr>
          <w:color w:val="000000"/>
        </w:rPr>
        <w:t xml:space="preserve"> </w:t>
      </w:r>
      <w:r w:rsidRPr="0073298B">
        <w:rPr>
          <w:rFonts w:cs="Garamond,Bold"/>
          <w:bCs/>
          <w:color w:val="000000"/>
          <w:lang w:eastAsia="pl-PL"/>
        </w:rPr>
        <w:t>łagodzące na zmiany klimatu</w:t>
      </w:r>
    </w:p>
    <w:p w:rsidR="002D6C55" w:rsidRPr="0073298B" w:rsidRDefault="002D6C55" w:rsidP="00C2408C">
      <w:pPr>
        <w:spacing w:after="60" w:line="240" w:lineRule="auto"/>
        <w:ind w:right="-1559"/>
        <w:jc w:val="both"/>
      </w:pPr>
      <w:r w:rsidRPr="0073298B">
        <w:rPr>
          <w:b/>
        </w:rPr>
        <w:t>Cel szczegółowy:</w:t>
      </w:r>
      <w:r w:rsidRPr="0073298B">
        <w:t xml:space="preserve">  Zwiększone wykorzystanie transportu publicznego w miastach i ich obszarach funkcjonalnych</w:t>
      </w:r>
    </w:p>
    <w:p w:rsidR="002D6C55" w:rsidRPr="0073298B" w:rsidRDefault="002D6C55" w:rsidP="00C2408C">
      <w:pPr>
        <w:autoSpaceDE w:val="0"/>
        <w:autoSpaceDN w:val="0"/>
        <w:adjustRightInd w:val="0"/>
        <w:spacing w:after="60" w:line="240" w:lineRule="auto"/>
        <w:ind w:right="-1559"/>
        <w:jc w:val="both"/>
      </w:pPr>
      <w:r w:rsidRPr="0073298B">
        <w:rPr>
          <w:b/>
        </w:rPr>
        <w:t xml:space="preserve">Schemat: </w:t>
      </w:r>
      <w:r w:rsidR="0073298B" w:rsidRPr="0073298B">
        <w:t>Infrastruktura na potrzeby czystego transportu miejskiego oraz inteligentne systemy transportowe w ramach polityki terytorialnej (bez infrastruktury szynowej)</w:t>
      </w:r>
    </w:p>
    <w:p w:rsidR="00CB02FA"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658"/>
        <w:gridCol w:w="1519"/>
        <w:gridCol w:w="4551"/>
      </w:tblGrid>
      <w:tr w:rsidR="00CB02FA" w:rsidRPr="000E32B0" w:rsidTr="00CB600C">
        <w:trPr>
          <w:trHeight w:val="484"/>
        </w:trPr>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519"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551"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rsidTr="000E32B0">
        <w:trPr>
          <w:trHeight w:val="535"/>
        </w:trPr>
        <w:tc>
          <w:tcPr>
            <w:tcW w:w="9214" w:type="dxa"/>
            <w:gridSpan w:val="4"/>
            <w:shd w:val="clear" w:color="auto" w:fill="F2F2F2"/>
            <w:vAlign w:val="center"/>
          </w:tcPr>
          <w:p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1030BE" w:rsidRPr="000E32B0" w:rsidTr="00CB600C">
        <w:trPr>
          <w:trHeight w:val="575"/>
        </w:trPr>
        <w:tc>
          <w:tcPr>
            <w:tcW w:w="0" w:type="auto"/>
            <w:shd w:val="clear" w:color="auto" w:fill="FFFFFF"/>
            <w:vAlign w:val="center"/>
          </w:tcPr>
          <w:p w:rsidR="001030BE" w:rsidRDefault="00214049"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1030BE" w:rsidRPr="00EC621B" w:rsidRDefault="001030BE" w:rsidP="00EC621B">
            <w:pPr>
              <w:pStyle w:val="Nagwek3"/>
              <w:spacing w:before="120" w:after="120" w:line="240" w:lineRule="auto"/>
              <w:jc w:val="center"/>
              <w:rPr>
                <w:rFonts w:asciiTheme="minorHAnsi" w:hAnsiTheme="minorHAnsi"/>
                <w:color w:val="auto"/>
              </w:rPr>
            </w:pPr>
            <w:r w:rsidRPr="001030BE">
              <w:rPr>
                <w:rFonts w:asciiTheme="minorHAnsi" w:hAnsiTheme="minorHAnsi"/>
                <w:color w:val="auto"/>
              </w:rPr>
              <w:t>Liczba przewozów komunikacją miejską na przebudowanych i nowych liniach komunikacji miejskiej</w:t>
            </w:r>
          </w:p>
        </w:tc>
        <w:tc>
          <w:tcPr>
            <w:tcW w:w="1519" w:type="dxa"/>
            <w:shd w:val="clear" w:color="auto" w:fill="FFFFFF"/>
            <w:vAlign w:val="center"/>
          </w:tcPr>
          <w:p w:rsidR="001030BE" w:rsidRPr="00790ED5" w:rsidRDefault="006D0844" w:rsidP="000E32B0">
            <w:pPr>
              <w:spacing w:after="0" w:line="240" w:lineRule="auto"/>
              <w:jc w:val="center"/>
              <w:rPr>
                <w:rFonts w:asciiTheme="minorHAnsi" w:hAnsiTheme="minorHAnsi"/>
              </w:rPr>
            </w:pPr>
            <w:r w:rsidRPr="006D0844">
              <w:rPr>
                <w:rFonts w:asciiTheme="minorHAnsi" w:hAnsiTheme="minorHAnsi"/>
              </w:rPr>
              <w:t>szt./rok</w:t>
            </w:r>
          </w:p>
        </w:tc>
        <w:tc>
          <w:tcPr>
            <w:tcW w:w="4551" w:type="dxa"/>
            <w:shd w:val="clear" w:color="auto" w:fill="FFFFFF"/>
            <w:vAlign w:val="center"/>
          </w:tcPr>
          <w:p w:rsidR="003149C5" w:rsidRDefault="006D0844" w:rsidP="001E5013">
            <w:pPr>
              <w:spacing w:before="120" w:after="120" w:line="240" w:lineRule="auto"/>
              <w:jc w:val="both"/>
            </w:pPr>
            <w:r w:rsidRPr="006D0844">
              <w:t xml:space="preserve">Liczba przewozów na liniach nowych oraz objętych modernizacją/przebudową w ramach projektów dofinansowanych w ramach programu. Aby dana linia mogła być zakwalifikowana do tej kategorii konieczne jest zrealizowanie na niej zadań infrastrukturalnych, a nie tylko taborowych. </w:t>
            </w:r>
          </w:p>
          <w:p w:rsidR="001030BE" w:rsidRDefault="006D0844" w:rsidP="00DF1639">
            <w:pPr>
              <w:spacing w:after="120" w:line="240" w:lineRule="auto"/>
              <w:jc w:val="both"/>
            </w:pPr>
            <w:r w:rsidRPr="006D0844">
              <w:t xml:space="preserve">Poprzez liczbę przewozów komunikacją miejską rozumie się sumę pasażerów przewiezionych na liniach nowych/przebudowanych dzięki wsparciu RPO WK-P 20142020. Za przewiezionego pasażera uważa się jednokrotny przejazd, których liczbę należy określić </w:t>
            </w:r>
            <w:r w:rsidR="003149C5">
              <w:br/>
            </w:r>
            <w:r w:rsidRPr="006D0844">
              <w:t xml:space="preserve">w oparciu o liczbę sprzedanych biletów jednorazowych i wieloprzejazdowych  </w:t>
            </w:r>
            <w:r w:rsidR="003149C5">
              <w:br/>
            </w:r>
            <w:r w:rsidRPr="006D0844">
              <w:t>(z uwzględnienie przyjętych przez przewoźnika norm liczby przejazdów na dany bilet wieloprzejazdowy).</w:t>
            </w:r>
          </w:p>
        </w:tc>
      </w:tr>
      <w:tr w:rsidR="001030BE" w:rsidRPr="000E32B0" w:rsidTr="00CB600C">
        <w:trPr>
          <w:trHeight w:val="575"/>
        </w:trPr>
        <w:tc>
          <w:tcPr>
            <w:tcW w:w="0" w:type="auto"/>
            <w:shd w:val="clear" w:color="auto" w:fill="FFFFFF"/>
            <w:vAlign w:val="center"/>
          </w:tcPr>
          <w:p w:rsidR="001030BE" w:rsidRDefault="00214049"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1030BE" w:rsidRPr="00EC621B" w:rsidRDefault="006D0844" w:rsidP="00EC621B">
            <w:pPr>
              <w:pStyle w:val="Nagwek3"/>
              <w:spacing w:before="120" w:after="120" w:line="240" w:lineRule="auto"/>
              <w:jc w:val="center"/>
              <w:rPr>
                <w:rFonts w:asciiTheme="minorHAnsi" w:hAnsiTheme="minorHAnsi"/>
                <w:color w:val="auto"/>
              </w:rPr>
            </w:pPr>
            <w:r w:rsidRPr="006D0844">
              <w:rPr>
                <w:rFonts w:asciiTheme="minorHAnsi" w:hAnsiTheme="minorHAnsi"/>
                <w:color w:val="auto"/>
              </w:rPr>
              <w:t>Liczba pojazdów korzystających z miejsc postojowych w wybudowanych obiektach „parkuj i jedź”</w:t>
            </w:r>
          </w:p>
        </w:tc>
        <w:tc>
          <w:tcPr>
            <w:tcW w:w="1519" w:type="dxa"/>
            <w:shd w:val="clear" w:color="auto" w:fill="FFFFFF"/>
            <w:vAlign w:val="center"/>
          </w:tcPr>
          <w:p w:rsidR="001030BE" w:rsidRPr="00790ED5" w:rsidRDefault="006D0844" w:rsidP="000E32B0">
            <w:pPr>
              <w:spacing w:after="0" w:line="240" w:lineRule="auto"/>
              <w:jc w:val="center"/>
              <w:rPr>
                <w:rFonts w:asciiTheme="minorHAnsi" w:hAnsiTheme="minorHAnsi"/>
              </w:rPr>
            </w:pPr>
            <w:r w:rsidRPr="006D0844">
              <w:rPr>
                <w:rFonts w:asciiTheme="minorHAnsi" w:hAnsiTheme="minorHAnsi"/>
              </w:rPr>
              <w:t>szt.</w:t>
            </w:r>
          </w:p>
        </w:tc>
        <w:tc>
          <w:tcPr>
            <w:tcW w:w="4551" w:type="dxa"/>
            <w:shd w:val="clear" w:color="auto" w:fill="FFFFFF"/>
            <w:vAlign w:val="center"/>
          </w:tcPr>
          <w:p w:rsidR="006D0844" w:rsidRDefault="006D0844" w:rsidP="001E5013">
            <w:pPr>
              <w:spacing w:before="120" w:after="120" w:line="240" w:lineRule="auto"/>
              <w:jc w:val="both"/>
            </w:pPr>
            <w:r>
              <w:t xml:space="preserve">Liczba pojazdów (samochodów osobowych, busów, motocykli itp.), które skorzystały </w:t>
            </w:r>
            <w:r w:rsidR="003149C5">
              <w:br/>
            </w:r>
            <w:r>
              <w:t xml:space="preserve">z miejsc postojowych na terenie parkingu </w:t>
            </w:r>
            <w:r w:rsidR="003149C5">
              <w:br/>
            </w:r>
            <w:r>
              <w:t>w systemie „parkuj  i jedź” („</w:t>
            </w:r>
            <w:proofErr w:type="spellStart"/>
            <w:r>
              <w:t>Park&amp;Ride</w:t>
            </w:r>
            <w:proofErr w:type="spellEnd"/>
            <w:r>
              <w:t xml:space="preserve">”) </w:t>
            </w:r>
            <w:r w:rsidR="003149C5">
              <w:br/>
            </w:r>
            <w:r>
              <w:t xml:space="preserve">w ciągu pełnego roku od zakończenia realizacji projektu. Wskaźnik dotyczy wyłącznie pojazdów pozostawianych na parkingu zgodnie  </w:t>
            </w:r>
            <w:r w:rsidR="003149C5">
              <w:br/>
            </w:r>
            <w:r>
              <w:t xml:space="preserve">z koncepcją „parkuj i jedź”. Wielokrotne korzystanie przez ten sam pojazd z parkingu za każdym razem wlicza się do wskaźnika. </w:t>
            </w:r>
          </w:p>
          <w:p w:rsidR="001030BE" w:rsidRDefault="006D0844" w:rsidP="006D0844">
            <w:pPr>
              <w:spacing w:after="120" w:line="240" w:lineRule="auto"/>
              <w:jc w:val="both"/>
            </w:pPr>
            <w:r w:rsidRPr="003149C5">
              <w:rPr>
                <w:b/>
                <w:u w:val="single"/>
              </w:rPr>
              <w:t xml:space="preserve">Parking „Park &amp; </w:t>
            </w:r>
            <w:proofErr w:type="spellStart"/>
            <w:r w:rsidRPr="003149C5">
              <w:rPr>
                <w:b/>
                <w:u w:val="single"/>
              </w:rPr>
              <w:t>Ride</w:t>
            </w:r>
            <w:proofErr w:type="spellEnd"/>
            <w:r w:rsidRPr="003149C5">
              <w:rPr>
                <w:b/>
                <w:u w:val="single"/>
              </w:rPr>
              <w:t>"</w:t>
            </w:r>
            <w:r>
              <w:t xml:space="preserve"> – parking przesiadkowy, który powstał w celu zamiany transportu </w:t>
            </w:r>
            <w:r>
              <w:lastRenderedPageBreak/>
              <w:t xml:space="preserve">indywidualnego na zbiorowy. Parking „Park &amp; </w:t>
            </w:r>
            <w:proofErr w:type="spellStart"/>
            <w:r>
              <w:t>Ride</w:t>
            </w:r>
            <w:proofErr w:type="spellEnd"/>
            <w:r>
              <w:t>" (”Parkuj i Jedź") przeznaczony jest do czasowego postoju pojazdów na/w wydzielonym placu/ulicy/ budynku, zwłaszcza na krańcowych przystankach komunikacyjnych.</w:t>
            </w:r>
          </w:p>
        </w:tc>
      </w:tr>
      <w:tr w:rsidR="001030BE" w:rsidRPr="000E32B0" w:rsidTr="00CB600C">
        <w:trPr>
          <w:trHeight w:val="575"/>
        </w:trPr>
        <w:tc>
          <w:tcPr>
            <w:tcW w:w="0" w:type="auto"/>
            <w:shd w:val="clear" w:color="auto" w:fill="FFFFFF"/>
            <w:vAlign w:val="center"/>
          </w:tcPr>
          <w:p w:rsidR="001030BE" w:rsidRDefault="00214049" w:rsidP="00FD1DCA">
            <w:pPr>
              <w:spacing w:after="0" w:line="240" w:lineRule="auto"/>
              <w:jc w:val="center"/>
              <w:rPr>
                <w:rFonts w:asciiTheme="minorHAnsi" w:hAnsiTheme="minorHAnsi"/>
              </w:rPr>
            </w:pPr>
            <w:r>
              <w:rPr>
                <w:rFonts w:asciiTheme="minorHAnsi" w:hAnsiTheme="minorHAnsi"/>
              </w:rPr>
              <w:lastRenderedPageBreak/>
              <w:t>3</w:t>
            </w:r>
          </w:p>
        </w:tc>
        <w:tc>
          <w:tcPr>
            <w:tcW w:w="0" w:type="auto"/>
            <w:shd w:val="clear" w:color="auto" w:fill="FFFFFF"/>
            <w:vAlign w:val="center"/>
          </w:tcPr>
          <w:p w:rsidR="001030BE" w:rsidRPr="00EC621B" w:rsidRDefault="006D0844" w:rsidP="00EC621B">
            <w:pPr>
              <w:pStyle w:val="Nagwek3"/>
              <w:spacing w:before="120" w:after="120" w:line="240" w:lineRule="auto"/>
              <w:jc w:val="center"/>
              <w:rPr>
                <w:rFonts w:asciiTheme="minorHAnsi" w:hAnsiTheme="minorHAnsi"/>
                <w:color w:val="auto"/>
              </w:rPr>
            </w:pPr>
            <w:r w:rsidRPr="006D0844">
              <w:rPr>
                <w:rFonts w:asciiTheme="minorHAnsi" w:hAnsiTheme="minorHAnsi"/>
                <w:color w:val="auto"/>
              </w:rPr>
              <w:t>Liczba osób korzystających z wybudowanych / przebudowanych dróg dla rowerów</w:t>
            </w:r>
          </w:p>
        </w:tc>
        <w:tc>
          <w:tcPr>
            <w:tcW w:w="1519" w:type="dxa"/>
            <w:shd w:val="clear" w:color="auto" w:fill="FFFFFF"/>
            <w:vAlign w:val="center"/>
          </w:tcPr>
          <w:p w:rsidR="001030BE" w:rsidRPr="00790ED5" w:rsidRDefault="006D0844" w:rsidP="000E32B0">
            <w:pPr>
              <w:spacing w:after="0" w:line="240" w:lineRule="auto"/>
              <w:jc w:val="center"/>
              <w:rPr>
                <w:rFonts w:asciiTheme="minorHAnsi" w:hAnsiTheme="minorHAnsi"/>
              </w:rPr>
            </w:pPr>
            <w:r w:rsidRPr="006D0844">
              <w:rPr>
                <w:rFonts w:asciiTheme="minorHAnsi" w:hAnsiTheme="minorHAnsi"/>
              </w:rPr>
              <w:t>osoby</w:t>
            </w:r>
          </w:p>
        </w:tc>
        <w:tc>
          <w:tcPr>
            <w:tcW w:w="4551" w:type="dxa"/>
            <w:shd w:val="clear" w:color="auto" w:fill="FFFFFF"/>
            <w:vAlign w:val="center"/>
          </w:tcPr>
          <w:p w:rsidR="001030BE" w:rsidRDefault="006D0844" w:rsidP="001E5013">
            <w:pPr>
              <w:spacing w:before="120" w:after="120" w:line="240" w:lineRule="auto"/>
              <w:jc w:val="both"/>
            </w:pPr>
            <w:r>
              <w:t>Liczba pojedynczych przejazdów na wybudowanych/przebudowanych drogach dla rowerów. Wielokrotne przejazdy danej osoby każdorazowo wlicza się do wskaźnika.</w:t>
            </w:r>
          </w:p>
        </w:tc>
      </w:tr>
      <w:tr w:rsidR="000E32B0" w:rsidRPr="000E32B0" w:rsidTr="00CB600C">
        <w:trPr>
          <w:trHeight w:val="575"/>
        </w:trPr>
        <w:tc>
          <w:tcPr>
            <w:tcW w:w="0" w:type="auto"/>
            <w:shd w:val="clear" w:color="auto" w:fill="FFFFFF"/>
            <w:vAlign w:val="center"/>
          </w:tcPr>
          <w:p w:rsidR="000E32B0" w:rsidRPr="000E32B0" w:rsidRDefault="00214049"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rsidR="000E32B0" w:rsidRPr="00EC621B" w:rsidRDefault="00EC621B" w:rsidP="00EC621B">
            <w:pPr>
              <w:pStyle w:val="Nagwek3"/>
              <w:spacing w:before="120" w:after="120" w:line="240" w:lineRule="auto"/>
              <w:jc w:val="center"/>
              <w:rPr>
                <w:rFonts w:asciiTheme="minorHAnsi" w:eastAsia="Times New Roman" w:hAnsiTheme="minorHAnsi"/>
                <w:b w:val="0"/>
                <w:color w:val="auto"/>
                <w:lang w:eastAsia="pl-PL"/>
              </w:rPr>
            </w:pPr>
            <w:r w:rsidRPr="00EC621B">
              <w:rPr>
                <w:rFonts w:asciiTheme="minorHAnsi" w:hAnsiTheme="minorHAnsi"/>
                <w:color w:val="auto"/>
              </w:rPr>
              <w:t>Szacowany roczny spadek emisji gazów cieplarnianych (CI34)</w:t>
            </w:r>
          </w:p>
        </w:tc>
        <w:tc>
          <w:tcPr>
            <w:tcW w:w="1519" w:type="dxa"/>
            <w:shd w:val="clear" w:color="auto" w:fill="FFFFFF"/>
            <w:vAlign w:val="center"/>
          </w:tcPr>
          <w:p w:rsidR="000E32B0" w:rsidRPr="00790ED5" w:rsidRDefault="00EC621B" w:rsidP="000E32B0">
            <w:pPr>
              <w:spacing w:after="0" w:line="240" w:lineRule="auto"/>
              <w:jc w:val="center"/>
              <w:rPr>
                <w:rFonts w:asciiTheme="minorHAnsi" w:hAnsiTheme="minorHAnsi" w:cs="Arial"/>
              </w:rPr>
            </w:pPr>
            <w:r w:rsidRPr="00790ED5">
              <w:rPr>
                <w:rFonts w:asciiTheme="minorHAnsi" w:hAnsiTheme="minorHAnsi"/>
              </w:rPr>
              <w:t>tony równoważnika CO</w:t>
            </w:r>
            <w:r w:rsidRPr="00FC69CE">
              <w:rPr>
                <w:rFonts w:asciiTheme="minorHAnsi" w:hAnsiTheme="minorHAnsi"/>
                <w:vertAlign w:val="subscript"/>
              </w:rPr>
              <w:t>2</w:t>
            </w:r>
          </w:p>
        </w:tc>
        <w:tc>
          <w:tcPr>
            <w:tcW w:w="4551" w:type="dxa"/>
            <w:shd w:val="clear" w:color="auto" w:fill="FFFFFF"/>
            <w:vAlign w:val="center"/>
          </w:tcPr>
          <w:p w:rsidR="006D0844" w:rsidRDefault="006D0844" w:rsidP="001E5013">
            <w:pPr>
              <w:spacing w:before="120" w:after="120" w:line="240" w:lineRule="auto"/>
              <w:jc w:val="both"/>
            </w:pPr>
            <w:r>
              <w:t xml:space="preserve">Wskaźnik </w:t>
            </w:r>
            <w:r>
              <w:rPr>
                <w:rFonts w:asciiTheme="minorHAnsi" w:hAnsiTheme="minorHAnsi"/>
              </w:rPr>
              <w:t>dotyczy redukcji CO</w:t>
            </w:r>
            <w:r>
              <w:rPr>
                <w:rFonts w:asciiTheme="minorHAnsi" w:hAnsiTheme="minorHAnsi"/>
                <w:vertAlign w:val="subscript"/>
              </w:rPr>
              <w:t xml:space="preserve">2 </w:t>
            </w:r>
            <w:r>
              <w:rPr>
                <w:rFonts w:asciiTheme="minorHAnsi" w:hAnsiTheme="minorHAnsi"/>
              </w:rPr>
              <w:t>i</w:t>
            </w:r>
            <w:r>
              <w:t xml:space="preserve"> mierzy łączny szacunkowy roczny spadek na koniec okresu, </w:t>
            </w:r>
            <w:r>
              <w:br/>
              <w:t xml:space="preserve">a nie całkowity spadek w całym okresie. </w:t>
            </w:r>
            <w:r>
              <w:br/>
              <w:t>W przypadku działań związanych z transportem rowerowym, spadek emisji gazów cieplarnianych wynika ze zmiany schematów mobilności mieszkańców, którzy zamiast transportu indywidualnego samochodowego wybierają transport rowerowy.</w:t>
            </w:r>
          </w:p>
          <w:p w:rsidR="006D0844" w:rsidRDefault="006D0844" w:rsidP="006D0844">
            <w:pPr>
              <w:spacing w:after="120" w:line="240" w:lineRule="auto"/>
              <w:jc w:val="both"/>
            </w:pPr>
            <w:r>
              <w:t xml:space="preserve">W przypadku działań związanych z transportem miejskim, spadek emisji gazów cieplarnianych wynika ze zmiany schematów mobilności mieszkańców, którzy zamiast transportu indywidualnego samochodowego wybierają transport zbiorowy. Należy wyznaczyć szacowaną pracę przewozową (wyrażoną </w:t>
            </w:r>
            <w:r w:rsidR="004B40D1">
              <w:br/>
            </w:r>
            <w:r>
              <w:t xml:space="preserve">w </w:t>
            </w:r>
            <w:proofErr w:type="spellStart"/>
            <w:r>
              <w:t>pasażero</w:t>
            </w:r>
            <w:proofErr w:type="spellEnd"/>
            <w:r>
              <w:t xml:space="preserve">-km), która  w wyniku realizacji projektu będzie wykonana transportem publicznym zamiast indywidualnym samochodowym. Redukcję CO2 uzyskuje się jako iloczyn redukcji tej pracy przez jednostkową redukcję emisji wynoszącą 100 g/pas-km. </w:t>
            </w:r>
          </w:p>
          <w:p w:rsidR="000E32B0" w:rsidRPr="00581F90" w:rsidRDefault="006D0844" w:rsidP="006D0844">
            <w:pPr>
              <w:spacing w:after="120" w:line="240" w:lineRule="auto"/>
              <w:jc w:val="both"/>
            </w:pPr>
            <w:r>
              <w:t xml:space="preserve">W przypadku działań związanych z transportem rowerowym, spadek emisji gazów cieplarnianych wynika ze zmiany schematów mobilności mieszkańców, którzy zamiast transportu indywidualnego samochodowego wybierają transport rowerowy. Należy wyznaczyć szacowaną pracę przewozową (wyrażoną w </w:t>
            </w:r>
            <w:proofErr w:type="spellStart"/>
            <w:r>
              <w:t>pasażero</w:t>
            </w:r>
            <w:proofErr w:type="spellEnd"/>
            <w:r>
              <w:t>-km), która  w wyniku realizacji projektu będzie wykonana transportem rowerowym zamiast indywidualnym samochodowym. Redukcję CO2 uzyskuje się jako iloczyn redukcji tej pracy przez jednostkową redukcję emisji wynoszącą 150 g/pas-km.</w:t>
            </w:r>
          </w:p>
        </w:tc>
      </w:tr>
      <w:tr w:rsidR="000E32B0" w:rsidRPr="000E32B0" w:rsidTr="000E32B0">
        <w:trPr>
          <w:trHeight w:val="535"/>
        </w:trPr>
        <w:tc>
          <w:tcPr>
            <w:tcW w:w="9214" w:type="dxa"/>
            <w:gridSpan w:val="4"/>
            <w:shd w:val="clear" w:color="auto" w:fill="F2F2F2"/>
            <w:vAlign w:val="center"/>
          </w:tcPr>
          <w:p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t>Wskaźnik produktu</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lastRenderedPageBreak/>
              <w:t>1</w:t>
            </w:r>
          </w:p>
        </w:tc>
        <w:tc>
          <w:tcPr>
            <w:tcW w:w="0" w:type="auto"/>
            <w:shd w:val="clear" w:color="auto" w:fill="FFFFFF"/>
            <w:vAlign w:val="center"/>
          </w:tcPr>
          <w:p w:rsidR="00042216" w:rsidRPr="005B30A9" w:rsidRDefault="00042216" w:rsidP="008D2CCD">
            <w:pPr>
              <w:spacing w:after="0" w:line="240" w:lineRule="auto"/>
              <w:jc w:val="center"/>
              <w:rPr>
                <w:b/>
              </w:rPr>
            </w:pPr>
            <w:r w:rsidRPr="00042216">
              <w:rPr>
                <w:b/>
              </w:rPr>
              <w:t>Długość wspartej infrastruktury rowerowej</w:t>
            </w:r>
          </w:p>
        </w:tc>
        <w:tc>
          <w:tcPr>
            <w:tcW w:w="1519" w:type="dxa"/>
            <w:shd w:val="clear" w:color="auto" w:fill="FFFFFF"/>
            <w:vAlign w:val="center"/>
          </w:tcPr>
          <w:p w:rsidR="00042216" w:rsidRDefault="00042216" w:rsidP="000E32B0">
            <w:pPr>
              <w:spacing w:after="0" w:line="240" w:lineRule="auto"/>
              <w:jc w:val="center"/>
              <w:rPr>
                <w:rFonts w:asciiTheme="minorHAnsi" w:hAnsiTheme="minorHAnsi" w:cs="Arial"/>
              </w:rPr>
            </w:pPr>
            <w:r w:rsidRPr="00042216">
              <w:rPr>
                <w:rFonts w:asciiTheme="minorHAnsi" w:hAnsiTheme="minorHAnsi" w:cs="Arial"/>
              </w:rPr>
              <w:t>km</w:t>
            </w:r>
          </w:p>
        </w:tc>
        <w:tc>
          <w:tcPr>
            <w:tcW w:w="4551" w:type="dxa"/>
            <w:shd w:val="clear" w:color="auto" w:fill="FFFFFF"/>
            <w:vAlign w:val="center"/>
          </w:tcPr>
          <w:p w:rsidR="00B62991" w:rsidRDefault="00042216" w:rsidP="001E5013">
            <w:pPr>
              <w:spacing w:before="120" w:after="0" w:line="240" w:lineRule="auto"/>
              <w:jc w:val="both"/>
            </w:pPr>
            <w:r w:rsidRPr="00042216">
              <w:t>Długość wybudowanego, przebudowanego lub wyznaczonego odcinka drogi przeznaczonej do ruchu rowerów. Wskaźnik stanowi sumę wskaźników:</w:t>
            </w:r>
          </w:p>
          <w:p w:rsidR="00B62991" w:rsidRDefault="00042216" w:rsidP="00244AB9">
            <w:pPr>
              <w:pStyle w:val="Akapitzlist"/>
              <w:numPr>
                <w:ilvl w:val="0"/>
                <w:numId w:val="5"/>
              </w:numPr>
              <w:spacing w:after="0" w:line="240" w:lineRule="auto"/>
              <w:ind w:left="334"/>
              <w:jc w:val="both"/>
            </w:pPr>
            <w:r w:rsidRPr="00042216">
              <w:t xml:space="preserve">Długość wybudowanych dróg dla rowerów, </w:t>
            </w:r>
          </w:p>
          <w:p w:rsidR="00B62991" w:rsidRDefault="00042216" w:rsidP="00244AB9">
            <w:pPr>
              <w:pStyle w:val="Akapitzlist"/>
              <w:numPr>
                <w:ilvl w:val="0"/>
                <w:numId w:val="5"/>
              </w:numPr>
              <w:spacing w:after="0" w:line="240" w:lineRule="auto"/>
              <w:ind w:left="334"/>
              <w:jc w:val="both"/>
            </w:pPr>
            <w:r w:rsidRPr="00042216">
              <w:t>Długość przebudowanych dróg dla rowerów,</w:t>
            </w:r>
          </w:p>
          <w:p w:rsidR="00042216" w:rsidRPr="008D2CCD" w:rsidRDefault="00042216" w:rsidP="001E5013">
            <w:pPr>
              <w:pStyle w:val="Akapitzlist"/>
              <w:numPr>
                <w:ilvl w:val="0"/>
                <w:numId w:val="5"/>
              </w:numPr>
              <w:spacing w:after="120" w:line="240" w:lineRule="auto"/>
              <w:ind w:left="329" w:hanging="357"/>
              <w:jc w:val="both"/>
            </w:pPr>
            <w:r w:rsidRPr="00042216">
              <w:t>Długość wyznaczonych ścieżek rowerowych.</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042216" w:rsidRPr="005B30A9" w:rsidRDefault="00B62991" w:rsidP="008D2CCD">
            <w:pPr>
              <w:spacing w:after="0" w:line="240" w:lineRule="auto"/>
              <w:jc w:val="center"/>
              <w:rPr>
                <w:b/>
              </w:rPr>
            </w:pPr>
            <w:r w:rsidRPr="00B62991">
              <w:rPr>
                <w:b/>
              </w:rPr>
              <w:t>Długość wybudowanych dróg dla rowerów</w:t>
            </w:r>
          </w:p>
        </w:tc>
        <w:tc>
          <w:tcPr>
            <w:tcW w:w="1519" w:type="dxa"/>
            <w:shd w:val="clear" w:color="auto" w:fill="FFFFFF"/>
            <w:vAlign w:val="center"/>
          </w:tcPr>
          <w:p w:rsidR="00042216" w:rsidRDefault="00B62991" w:rsidP="000E32B0">
            <w:pPr>
              <w:spacing w:after="0" w:line="240" w:lineRule="auto"/>
              <w:jc w:val="center"/>
              <w:rPr>
                <w:rFonts w:asciiTheme="minorHAnsi" w:hAnsiTheme="minorHAnsi" w:cs="Arial"/>
              </w:rPr>
            </w:pPr>
            <w:r>
              <w:rPr>
                <w:rFonts w:asciiTheme="minorHAnsi" w:hAnsiTheme="minorHAnsi" w:cs="Arial"/>
              </w:rPr>
              <w:t>km</w:t>
            </w:r>
          </w:p>
        </w:tc>
        <w:tc>
          <w:tcPr>
            <w:tcW w:w="4551" w:type="dxa"/>
            <w:shd w:val="clear" w:color="auto" w:fill="FFFFFF"/>
            <w:vAlign w:val="center"/>
          </w:tcPr>
          <w:p w:rsidR="00B36D7F" w:rsidRDefault="00B62991" w:rsidP="001E5013">
            <w:pPr>
              <w:spacing w:before="120" w:after="120" w:line="240" w:lineRule="auto"/>
              <w:jc w:val="both"/>
            </w:pPr>
            <w:r w:rsidRPr="00B62991">
              <w:t xml:space="preserve">Długość wybudowanego odcinka drogi przeznaczonej do ruchu rowerów, tj. oddzielonej od innych dróg lub jezdni tej samej drogi konstrukcyjnie lub  za pomocą urządzeń bezpieczeństwa ruchu drogowego oraz oznaczonej odpowiednimi znakami drogowymi. </w:t>
            </w:r>
          </w:p>
          <w:p w:rsidR="00042216" w:rsidRPr="008D2CCD" w:rsidRDefault="00B62991" w:rsidP="001E5013">
            <w:pPr>
              <w:spacing w:after="120" w:line="240" w:lineRule="auto"/>
              <w:jc w:val="both"/>
            </w:pPr>
            <w:r w:rsidRPr="00B62991">
              <w:t xml:space="preserve">Poprzez </w:t>
            </w:r>
            <w:r w:rsidRPr="004B40D1">
              <w:rPr>
                <w:b/>
                <w:u w:val="single"/>
              </w:rPr>
              <w:t>drogi rowerowe</w:t>
            </w:r>
            <w:r w:rsidRPr="00B62991">
              <w:t xml:space="preserve"> należy również rozumieć drogi dla pieszych i rowerów (ciągi pieszo-rowerowe), tj. drogi lub ich część przeznaczone do ruchu pieszych i rowerów, oznaczone odpowiednimi znakami drogowymi.</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rsidR="00042216" w:rsidRPr="005B30A9" w:rsidRDefault="00B62991" w:rsidP="008D2CCD">
            <w:pPr>
              <w:spacing w:after="0" w:line="240" w:lineRule="auto"/>
              <w:jc w:val="center"/>
              <w:rPr>
                <w:b/>
              </w:rPr>
            </w:pPr>
            <w:r w:rsidRPr="00B62991">
              <w:rPr>
                <w:b/>
              </w:rPr>
              <w:t>Długość przebudowanych dróg dla rowerów</w:t>
            </w:r>
          </w:p>
        </w:tc>
        <w:tc>
          <w:tcPr>
            <w:tcW w:w="1519" w:type="dxa"/>
            <w:shd w:val="clear" w:color="auto" w:fill="FFFFFF"/>
            <w:vAlign w:val="center"/>
          </w:tcPr>
          <w:p w:rsidR="00042216" w:rsidRDefault="00B62991" w:rsidP="000E32B0">
            <w:pPr>
              <w:spacing w:after="0" w:line="240" w:lineRule="auto"/>
              <w:jc w:val="center"/>
              <w:rPr>
                <w:rFonts w:asciiTheme="minorHAnsi" w:hAnsiTheme="minorHAnsi" w:cs="Arial"/>
              </w:rPr>
            </w:pPr>
            <w:r>
              <w:rPr>
                <w:rFonts w:asciiTheme="minorHAnsi" w:hAnsiTheme="minorHAnsi" w:cs="Arial"/>
              </w:rPr>
              <w:t>km</w:t>
            </w:r>
          </w:p>
        </w:tc>
        <w:tc>
          <w:tcPr>
            <w:tcW w:w="4551" w:type="dxa"/>
            <w:shd w:val="clear" w:color="auto" w:fill="FFFFFF"/>
            <w:vAlign w:val="center"/>
          </w:tcPr>
          <w:p w:rsidR="00042216" w:rsidRPr="008D2CCD" w:rsidRDefault="00B62991" w:rsidP="001E5013">
            <w:pPr>
              <w:spacing w:before="120" w:after="120" w:line="240" w:lineRule="auto"/>
              <w:jc w:val="both"/>
            </w:pPr>
            <w:r w:rsidRPr="00B62991">
              <w:t xml:space="preserve">Długość przebudowanego odcinka drogi przeznaczonej do ruchu rowerów, tj. oddzielonej od innych dróg lub jezdni tej samej drogi konstrukcyjnie lub  za pomocą urządzeń bezpieczeństwa ruchu drogowego oraz oznaczonej odpowiednimi znakami drogowymi. </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rsidR="00042216" w:rsidRPr="005B30A9" w:rsidRDefault="00B62991" w:rsidP="008D2CCD">
            <w:pPr>
              <w:spacing w:after="0" w:line="240" w:lineRule="auto"/>
              <w:jc w:val="center"/>
              <w:rPr>
                <w:b/>
              </w:rPr>
            </w:pPr>
            <w:r w:rsidRPr="00B62991">
              <w:rPr>
                <w:b/>
              </w:rPr>
              <w:t>Długość wyznaczonych ścieżek rowerowych</w:t>
            </w:r>
          </w:p>
        </w:tc>
        <w:tc>
          <w:tcPr>
            <w:tcW w:w="1519" w:type="dxa"/>
            <w:shd w:val="clear" w:color="auto" w:fill="FFFFFF"/>
            <w:vAlign w:val="center"/>
          </w:tcPr>
          <w:p w:rsidR="00042216" w:rsidRDefault="00B62991" w:rsidP="000E32B0">
            <w:pPr>
              <w:spacing w:after="0" w:line="240" w:lineRule="auto"/>
              <w:jc w:val="center"/>
              <w:rPr>
                <w:rFonts w:asciiTheme="minorHAnsi" w:hAnsiTheme="minorHAnsi" w:cs="Arial"/>
              </w:rPr>
            </w:pPr>
            <w:r>
              <w:rPr>
                <w:rFonts w:asciiTheme="minorHAnsi" w:hAnsiTheme="minorHAnsi" w:cs="Arial"/>
              </w:rPr>
              <w:t>km</w:t>
            </w:r>
          </w:p>
        </w:tc>
        <w:tc>
          <w:tcPr>
            <w:tcW w:w="4551" w:type="dxa"/>
            <w:shd w:val="clear" w:color="auto" w:fill="FFFFFF"/>
            <w:vAlign w:val="center"/>
          </w:tcPr>
          <w:p w:rsidR="00042216" w:rsidRPr="008D2CCD" w:rsidRDefault="00B62991" w:rsidP="001E5013">
            <w:pPr>
              <w:spacing w:before="120" w:after="120" w:line="240" w:lineRule="auto"/>
              <w:jc w:val="both"/>
            </w:pPr>
            <w:r w:rsidRPr="00B62991">
              <w:t>Długość wyznaczonego odcinka drogi przeznaczonej do ruchu rowerów, tj. oddzielonej od innych dróg lub jezdni tej samej drogi konstrukcyjnie lub za pomocą urządzeń bezpieczeństwa ruchu drogowego oraz oznaczonej odpowiednimi znakami drogowymi.</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rsidR="00042216" w:rsidRPr="005B30A9" w:rsidRDefault="00615FC3" w:rsidP="008D2CCD">
            <w:pPr>
              <w:spacing w:after="0" w:line="240" w:lineRule="auto"/>
              <w:jc w:val="center"/>
              <w:rPr>
                <w:b/>
              </w:rPr>
            </w:pPr>
            <w:r w:rsidRPr="00615FC3">
              <w:rPr>
                <w:b/>
              </w:rPr>
              <w:t>Liczba zakupionych jednostek taboru pasażerskiego w publicznym transporcie zbiorowym komunikacji miejskiej</w:t>
            </w:r>
          </w:p>
        </w:tc>
        <w:tc>
          <w:tcPr>
            <w:tcW w:w="1519" w:type="dxa"/>
            <w:shd w:val="clear" w:color="auto" w:fill="FFFFFF"/>
            <w:vAlign w:val="center"/>
          </w:tcPr>
          <w:p w:rsidR="00042216" w:rsidRDefault="00615FC3" w:rsidP="000E32B0">
            <w:pPr>
              <w:spacing w:after="0" w:line="240" w:lineRule="auto"/>
              <w:jc w:val="center"/>
              <w:rPr>
                <w:rFonts w:asciiTheme="minorHAnsi" w:hAnsiTheme="minorHAnsi" w:cs="Arial"/>
              </w:rPr>
            </w:pPr>
            <w:r w:rsidRPr="00615FC3">
              <w:rPr>
                <w:rFonts w:asciiTheme="minorHAnsi" w:hAnsiTheme="minorHAnsi" w:cs="Arial"/>
              </w:rPr>
              <w:t>szt.</w:t>
            </w:r>
          </w:p>
        </w:tc>
        <w:tc>
          <w:tcPr>
            <w:tcW w:w="4551" w:type="dxa"/>
            <w:shd w:val="clear" w:color="auto" w:fill="FFFFFF"/>
            <w:vAlign w:val="center"/>
          </w:tcPr>
          <w:p w:rsidR="00615FC3" w:rsidRDefault="00615FC3" w:rsidP="001E5013">
            <w:pPr>
              <w:spacing w:before="120" w:after="0" w:line="240" w:lineRule="auto"/>
              <w:jc w:val="both"/>
            </w:pPr>
            <w:r>
              <w:t xml:space="preserve">Liczba zakupionych autobusów, tramwajów, trolejbusów, środków pasażerskiego transportu wodnego, pojazdów kolejowych wykorzystywanych  w gminnych przewozach pasażerskich, wykonywanych w granicach administracyjnych miasta (również na terenie: miasta i gminy / miast / miast i gmin sąsiadujących, jeżeli zostało zawarte porozumienie lub został utworzony związek międzygminny, w celu wspólnej realizacji publicznego transportu zbiorowego). </w:t>
            </w:r>
          </w:p>
          <w:p w:rsidR="00615FC3" w:rsidRDefault="00615FC3" w:rsidP="00615FC3">
            <w:pPr>
              <w:pStyle w:val="Akapitzlist"/>
              <w:numPr>
                <w:ilvl w:val="0"/>
                <w:numId w:val="6"/>
              </w:numPr>
              <w:spacing w:after="0" w:line="240" w:lineRule="auto"/>
              <w:ind w:left="334"/>
              <w:jc w:val="both"/>
            </w:pPr>
            <w:r>
              <w:t xml:space="preserve">przez autobus należy rozumieć pojazd samochodowy przeznaczony konstrukcyjnie do przewozu więcej niż 9 osób łącznie </w:t>
            </w:r>
            <w:r>
              <w:br/>
            </w:r>
            <w:r>
              <w:t>z kierowcą;</w:t>
            </w:r>
          </w:p>
          <w:p w:rsidR="00615FC3" w:rsidRDefault="00615FC3" w:rsidP="00615FC3">
            <w:pPr>
              <w:pStyle w:val="Akapitzlist"/>
              <w:numPr>
                <w:ilvl w:val="0"/>
                <w:numId w:val="6"/>
              </w:numPr>
              <w:spacing w:after="0" w:line="240" w:lineRule="auto"/>
              <w:ind w:left="334"/>
              <w:jc w:val="both"/>
            </w:pPr>
            <w:r>
              <w:t xml:space="preserve">przez tramwaj należy rozumieć pojazd przeznaczony do przewozu osób lub rzeczy </w:t>
            </w:r>
            <w:r>
              <w:lastRenderedPageBreak/>
              <w:t>zasilany energią elektryczną, poruszający się po szynach na drogach publicznych;</w:t>
            </w:r>
          </w:p>
          <w:p w:rsidR="00615FC3" w:rsidRDefault="00615FC3" w:rsidP="00615FC3">
            <w:pPr>
              <w:pStyle w:val="Akapitzlist"/>
              <w:numPr>
                <w:ilvl w:val="0"/>
                <w:numId w:val="6"/>
              </w:numPr>
              <w:spacing w:after="0" w:line="240" w:lineRule="auto"/>
              <w:ind w:left="334"/>
              <w:jc w:val="both"/>
            </w:pPr>
            <w:r>
              <w:t>przez trolejbus należy rozumieć autobus przystosowany do zasilania energią elektryczną z sieci trakcyjnej;</w:t>
            </w:r>
          </w:p>
          <w:p w:rsidR="00042216" w:rsidRPr="008D2CCD" w:rsidRDefault="00615FC3" w:rsidP="001E5013">
            <w:pPr>
              <w:pStyle w:val="Akapitzlist"/>
              <w:numPr>
                <w:ilvl w:val="0"/>
                <w:numId w:val="6"/>
              </w:numPr>
              <w:spacing w:after="120" w:line="240" w:lineRule="auto"/>
              <w:ind w:left="329" w:hanging="357"/>
              <w:jc w:val="both"/>
            </w:pPr>
            <w:r>
              <w:t xml:space="preserve">przez pojazd kolejowy należy rozumieć pojazd dostosowany do poruszania się na własnych kołach po torach kolejowych, </w:t>
            </w:r>
            <w:r>
              <w:br/>
            </w:r>
            <w:r>
              <w:t>z napędem lub bez napędu (w tym elektryczny zespół trakcyjny, spalinowy zespół trakcyjny, wagon elektryczny, wagon spalinowy, autobus szynowy (</w:t>
            </w:r>
            <w:proofErr w:type="spellStart"/>
            <w:r>
              <w:t>szynobus</w:t>
            </w:r>
            <w:proofErr w:type="spellEnd"/>
            <w:r>
              <w:t>), wagony metra).</w:t>
            </w:r>
          </w:p>
        </w:tc>
      </w:tr>
      <w:tr w:rsidR="003C4467" w:rsidRPr="000E32B0" w:rsidTr="00CB600C">
        <w:trPr>
          <w:trHeight w:val="575"/>
        </w:trPr>
        <w:tc>
          <w:tcPr>
            <w:tcW w:w="0" w:type="auto"/>
            <w:shd w:val="clear" w:color="auto" w:fill="FFFFFF"/>
            <w:vAlign w:val="center"/>
          </w:tcPr>
          <w:p w:rsidR="003C4467" w:rsidRDefault="00214049" w:rsidP="003C4467">
            <w:pPr>
              <w:spacing w:after="0" w:line="240" w:lineRule="auto"/>
              <w:jc w:val="center"/>
              <w:rPr>
                <w:rFonts w:asciiTheme="minorHAnsi" w:hAnsiTheme="minorHAnsi"/>
              </w:rPr>
            </w:pPr>
            <w:r>
              <w:rPr>
                <w:rFonts w:asciiTheme="minorHAnsi" w:hAnsiTheme="minorHAnsi"/>
              </w:rPr>
              <w:lastRenderedPageBreak/>
              <w:t>6</w:t>
            </w:r>
          </w:p>
        </w:tc>
        <w:tc>
          <w:tcPr>
            <w:tcW w:w="0" w:type="auto"/>
            <w:shd w:val="clear" w:color="auto" w:fill="FFFFFF"/>
            <w:vAlign w:val="center"/>
          </w:tcPr>
          <w:p w:rsidR="003C4467" w:rsidRPr="008D2CCD" w:rsidRDefault="003C4467" w:rsidP="003C4467">
            <w:pPr>
              <w:spacing w:after="0" w:line="240" w:lineRule="auto"/>
              <w:jc w:val="center"/>
              <w:rPr>
                <w:b/>
              </w:rPr>
            </w:pPr>
            <w:r w:rsidRPr="005B30A9">
              <w:rPr>
                <w:b/>
              </w:rPr>
              <w:t>Liczba zainstalowanych inteligentnych systemów transportowych</w:t>
            </w:r>
          </w:p>
        </w:tc>
        <w:tc>
          <w:tcPr>
            <w:tcW w:w="1519" w:type="dxa"/>
            <w:shd w:val="clear" w:color="auto" w:fill="FFFFFF"/>
            <w:vAlign w:val="center"/>
          </w:tcPr>
          <w:p w:rsidR="003C4467" w:rsidRPr="000E32B0" w:rsidRDefault="003C4467" w:rsidP="003C4467">
            <w:pPr>
              <w:spacing w:after="0" w:line="240" w:lineRule="auto"/>
              <w:jc w:val="center"/>
              <w:rPr>
                <w:rFonts w:asciiTheme="minorHAnsi" w:hAnsiTheme="minorHAnsi" w:cs="Arial"/>
              </w:rPr>
            </w:pPr>
            <w:r>
              <w:rPr>
                <w:rFonts w:asciiTheme="minorHAnsi" w:hAnsiTheme="minorHAnsi" w:cs="Arial"/>
              </w:rPr>
              <w:t>szt.</w:t>
            </w:r>
          </w:p>
        </w:tc>
        <w:tc>
          <w:tcPr>
            <w:tcW w:w="4551" w:type="dxa"/>
            <w:shd w:val="clear" w:color="auto" w:fill="FFFFFF"/>
            <w:vAlign w:val="center"/>
          </w:tcPr>
          <w:p w:rsidR="003C4467" w:rsidRPr="008D2CCD" w:rsidRDefault="003C4467" w:rsidP="001E5013">
            <w:pPr>
              <w:spacing w:before="120" w:after="120" w:line="240" w:lineRule="auto"/>
              <w:jc w:val="both"/>
              <w:rPr>
                <w:rFonts w:asciiTheme="minorHAnsi" w:eastAsia="Times New Roman" w:hAnsiTheme="minorHAnsi"/>
                <w:lang w:eastAsia="pl-PL"/>
              </w:rPr>
            </w:pPr>
            <w:r w:rsidRPr="008D2CCD">
              <w:t xml:space="preserve">Liczba nowych inteligentnych </w:t>
            </w:r>
            <w:r>
              <w:t xml:space="preserve">systemów transportowych (ITS), </w:t>
            </w:r>
            <w:r w:rsidRPr="008D2CCD">
              <w:t xml:space="preserve">w których technologie informacyjne i komunikacyjne stosowane są </w:t>
            </w:r>
            <w:r>
              <w:br/>
            </w:r>
            <w:r w:rsidRPr="008D2CCD">
              <w:t xml:space="preserve">w obszarze transportu drogowego, obejmującym infrastrukturę, pojazdy </w:t>
            </w:r>
            <w:r>
              <w:br/>
            </w:r>
            <w:r w:rsidRPr="008D2CCD">
              <w:t xml:space="preserve">i użytkowników, oraz w zarządzeniu ruchem </w:t>
            </w:r>
            <w:r>
              <w:br/>
            </w:r>
            <w:r w:rsidRPr="008D2CCD">
              <w:t>i zarządzaniu mobilnością, jak również do interfejsów z innymi rodzajami transportu.</w:t>
            </w:r>
          </w:p>
        </w:tc>
      </w:tr>
      <w:tr w:rsidR="003C4467" w:rsidRPr="000E32B0" w:rsidTr="00CB600C">
        <w:trPr>
          <w:trHeight w:val="575"/>
        </w:trPr>
        <w:tc>
          <w:tcPr>
            <w:tcW w:w="0" w:type="auto"/>
            <w:shd w:val="clear" w:color="auto" w:fill="FFFFFF"/>
            <w:vAlign w:val="center"/>
          </w:tcPr>
          <w:p w:rsidR="003C4467" w:rsidRDefault="00214049" w:rsidP="003C4467">
            <w:pPr>
              <w:spacing w:after="0" w:line="240" w:lineRule="auto"/>
              <w:jc w:val="center"/>
              <w:rPr>
                <w:rFonts w:asciiTheme="minorHAnsi" w:hAnsiTheme="minorHAnsi"/>
              </w:rPr>
            </w:pPr>
            <w:r>
              <w:rPr>
                <w:rFonts w:asciiTheme="minorHAnsi" w:hAnsiTheme="minorHAnsi"/>
              </w:rPr>
              <w:t>7</w:t>
            </w:r>
          </w:p>
        </w:tc>
        <w:tc>
          <w:tcPr>
            <w:tcW w:w="0" w:type="auto"/>
            <w:shd w:val="clear" w:color="auto" w:fill="FFFFFF"/>
            <w:vAlign w:val="center"/>
          </w:tcPr>
          <w:p w:rsidR="003C4467" w:rsidRPr="008D2CCD" w:rsidRDefault="003C4467" w:rsidP="003C4467">
            <w:pPr>
              <w:pStyle w:val="Nagwek3"/>
              <w:spacing w:before="120" w:after="120" w:line="240" w:lineRule="auto"/>
              <w:jc w:val="center"/>
              <w:rPr>
                <w:rFonts w:asciiTheme="minorHAnsi" w:eastAsia="Times New Roman" w:hAnsiTheme="minorHAnsi"/>
                <w:color w:val="auto"/>
                <w:lang w:eastAsia="pl-PL"/>
              </w:rPr>
            </w:pPr>
            <w:r w:rsidRPr="008D2CCD">
              <w:rPr>
                <w:rFonts w:ascii="Calibri" w:hAnsi="Calibri"/>
                <w:color w:val="auto"/>
              </w:rPr>
              <w:t xml:space="preserve">Liczba </w:t>
            </w:r>
            <w:r>
              <w:rPr>
                <w:rFonts w:ascii="Calibri" w:hAnsi="Calibri"/>
                <w:color w:val="auto"/>
              </w:rPr>
              <w:t>rozbudowanych</w:t>
            </w:r>
            <w:r w:rsidRPr="008D2CCD">
              <w:rPr>
                <w:rFonts w:ascii="Calibri" w:hAnsi="Calibri"/>
                <w:color w:val="auto"/>
              </w:rPr>
              <w:t xml:space="preserve"> inteligentnych systemów transportowych</w:t>
            </w:r>
          </w:p>
        </w:tc>
        <w:tc>
          <w:tcPr>
            <w:tcW w:w="1519" w:type="dxa"/>
            <w:shd w:val="clear" w:color="auto" w:fill="FFFFFF"/>
            <w:vAlign w:val="center"/>
          </w:tcPr>
          <w:p w:rsidR="003C4467" w:rsidRPr="000E32B0" w:rsidRDefault="003C4467" w:rsidP="003C4467">
            <w:pPr>
              <w:spacing w:after="0" w:line="240" w:lineRule="auto"/>
              <w:jc w:val="center"/>
              <w:rPr>
                <w:rFonts w:asciiTheme="minorHAnsi" w:hAnsiTheme="minorHAnsi" w:cs="Arial"/>
              </w:rPr>
            </w:pPr>
            <w:r>
              <w:rPr>
                <w:rFonts w:asciiTheme="minorHAnsi" w:hAnsiTheme="minorHAnsi" w:cs="Arial"/>
              </w:rPr>
              <w:t>szt.</w:t>
            </w:r>
          </w:p>
        </w:tc>
        <w:tc>
          <w:tcPr>
            <w:tcW w:w="4551" w:type="dxa"/>
            <w:shd w:val="clear" w:color="auto" w:fill="FFFFFF"/>
            <w:vAlign w:val="center"/>
          </w:tcPr>
          <w:p w:rsidR="003C4467" w:rsidRPr="008D2CCD" w:rsidRDefault="003C4467" w:rsidP="001E5013">
            <w:pPr>
              <w:spacing w:before="120" w:after="120" w:line="240" w:lineRule="auto"/>
              <w:jc w:val="both"/>
              <w:rPr>
                <w:rFonts w:asciiTheme="minorHAnsi" w:eastAsia="Times New Roman" w:hAnsiTheme="minorHAnsi"/>
                <w:lang w:eastAsia="pl-PL"/>
              </w:rPr>
            </w:pPr>
            <w:r w:rsidRPr="008D2CCD">
              <w:t xml:space="preserve">Liczba rozbudowanych inteligentnych systemów transportowych (ITS), w których technologie informacyjne i komunikacyjne stosowane są </w:t>
            </w:r>
            <w:r>
              <w:br/>
            </w:r>
            <w:r w:rsidRPr="008D2CCD">
              <w:t>w obszarze transportu drogowego, obejmującym infrastrukturę</w:t>
            </w:r>
            <w:r>
              <w:t xml:space="preserve">, pojazdy </w:t>
            </w:r>
            <w:r>
              <w:br/>
              <w:t xml:space="preserve">i użytkowników, oraz </w:t>
            </w:r>
            <w:r w:rsidRPr="008D2CCD">
              <w:t xml:space="preserve">w zarządzeniu ruchem </w:t>
            </w:r>
            <w:r>
              <w:br/>
            </w:r>
            <w:r w:rsidRPr="008D2CCD">
              <w:t>i zarządzaniu mobilnością, jak również do interfejsów z innymi rodzajami transportu.</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t>8</w:t>
            </w:r>
          </w:p>
        </w:tc>
        <w:tc>
          <w:tcPr>
            <w:tcW w:w="0" w:type="auto"/>
            <w:shd w:val="clear" w:color="auto" w:fill="FFFFFF"/>
            <w:vAlign w:val="center"/>
          </w:tcPr>
          <w:p w:rsidR="00042216" w:rsidRPr="005B30A9" w:rsidRDefault="003C4467" w:rsidP="008D2CCD">
            <w:pPr>
              <w:spacing w:after="0" w:line="240" w:lineRule="auto"/>
              <w:jc w:val="center"/>
              <w:rPr>
                <w:b/>
              </w:rPr>
            </w:pPr>
            <w:r w:rsidRPr="003C4467">
              <w:rPr>
                <w:b/>
              </w:rPr>
              <w:t xml:space="preserve">Pojemność zakupionego taboru pasażerskiego </w:t>
            </w:r>
            <w:r w:rsidR="0032358A">
              <w:rPr>
                <w:b/>
              </w:rPr>
              <w:br/>
            </w:r>
            <w:r w:rsidRPr="003C4467">
              <w:rPr>
                <w:b/>
              </w:rPr>
              <w:t>w publicznym transporcie zbiorowym komunikacji miejskiej</w:t>
            </w:r>
          </w:p>
        </w:tc>
        <w:tc>
          <w:tcPr>
            <w:tcW w:w="1519" w:type="dxa"/>
            <w:shd w:val="clear" w:color="auto" w:fill="FFFFFF"/>
            <w:vAlign w:val="center"/>
          </w:tcPr>
          <w:p w:rsidR="00042216" w:rsidRDefault="003C4467" w:rsidP="000E32B0">
            <w:pPr>
              <w:spacing w:after="0" w:line="240" w:lineRule="auto"/>
              <w:jc w:val="center"/>
              <w:rPr>
                <w:rFonts w:asciiTheme="minorHAnsi" w:hAnsiTheme="minorHAnsi" w:cs="Arial"/>
              </w:rPr>
            </w:pPr>
            <w:r w:rsidRPr="003C4467">
              <w:rPr>
                <w:rFonts w:asciiTheme="minorHAnsi" w:hAnsiTheme="minorHAnsi" w:cs="Arial"/>
              </w:rPr>
              <w:t>osoby</w:t>
            </w:r>
          </w:p>
        </w:tc>
        <w:tc>
          <w:tcPr>
            <w:tcW w:w="4551" w:type="dxa"/>
            <w:shd w:val="clear" w:color="auto" w:fill="FFFFFF"/>
            <w:vAlign w:val="center"/>
          </w:tcPr>
          <w:p w:rsidR="00042216" w:rsidRPr="008D2CCD" w:rsidRDefault="003C4467" w:rsidP="001E5013">
            <w:pPr>
              <w:spacing w:before="120" w:after="120" w:line="240" w:lineRule="auto"/>
              <w:jc w:val="both"/>
            </w:pPr>
            <w:r w:rsidRPr="003C4467">
              <w:t xml:space="preserve">Łączna liczba miejsc siedzących i stojących przeznaczonych do użytku pasażerów </w:t>
            </w:r>
            <w:r w:rsidR="007E4DE5">
              <w:br/>
            </w:r>
            <w:r w:rsidRPr="003C4467">
              <w:t>w zakupionych autobusach, tramwajach, trolejbusach, środkach pasażerskiego transportu wodnego, pojazdach kolejowych wykorzystywanych  w gminnych przewozach pasażerskich, wykonywanych w granicach administracyjnych miasta (również na terenie: miasta i gminy / miast / miast i gmin sąsiadujących, jeżeli zostało zawarte porozumienie lub został utworzony związek międzygminny, w celu wspólnej realizacji publicznego transportu zbiorowego).</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t>9</w:t>
            </w:r>
          </w:p>
        </w:tc>
        <w:tc>
          <w:tcPr>
            <w:tcW w:w="0" w:type="auto"/>
            <w:shd w:val="clear" w:color="auto" w:fill="FFFFFF"/>
            <w:vAlign w:val="center"/>
          </w:tcPr>
          <w:p w:rsidR="00042216" w:rsidRPr="005B30A9" w:rsidRDefault="00B36D7F" w:rsidP="008D2CCD">
            <w:pPr>
              <w:spacing w:after="0" w:line="240" w:lineRule="auto"/>
              <w:jc w:val="center"/>
              <w:rPr>
                <w:b/>
              </w:rPr>
            </w:pPr>
            <w:r w:rsidRPr="00B36D7F">
              <w:rPr>
                <w:b/>
              </w:rPr>
              <w:t>Całkowita długość nowych lub przebudowanych linii komunikacji miejskiej</w:t>
            </w:r>
          </w:p>
        </w:tc>
        <w:tc>
          <w:tcPr>
            <w:tcW w:w="1519" w:type="dxa"/>
            <w:shd w:val="clear" w:color="auto" w:fill="FFFFFF"/>
            <w:vAlign w:val="center"/>
          </w:tcPr>
          <w:p w:rsidR="00042216" w:rsidRDefault="00B36D7F" w:rsidP="000E32B0">
            <w:pPr>
              <w:spacing w:after="0" w:line="240" w:lineRule="auto"/>
              <w:jc w:val="center"/>
              <w:rPr>
                <w:rFonts w:asciiTheme="minorHAnsi" w:hAnsiTheme="minorHAnsi" w:cs="Arial"/>
              </w:rPr>
            </w:pPr>
            <w:r>
              <w:rPr>
                <w:rFonts w:asciiTheme="minorHAnsi" w:hAnsiTheme="minorHAnsi" w:cs="Arial"/>
              </w:rPr>
              <w:t>km</w:t>
            </w:r>
          </w:p>
        </w:tc>
        <w:tc>
          <w:tcPr>
            <w:tcW w:w="4551" w:type="dxa"/>
            <w:shd w:val="clear" w:color="auto" w:fill="FFFFFF"/>
            <w:vAlign w:val="center"/>
          </w:tcPr>
          <w:p w:rsidR="00B36D7F" w:rsidRDefault="00B36D7F" w:rsidP="001E5013">
            <w:pPr>
              <w:spacing w:before="120" w:after="120" w:line="240" w:lineRule="auto"/>
              <w:jc w:val="both"/>
            </w:pPr>
            <w:r>
              <w:t xml:space="preserve">Długość linii komunikacji miejskiej, które zostały wybudowane lub przebudowane w ramach projektu. </w:t>
            </w:r>
          </w:p>
          <w:p w:rsidR="00042216" w:rsidRPr="008D2CCD" w:rsidRDefault="00B36D7F" w:rsidP="001E5013">
            <w:pPr>
              <w:spacing w:after="120" w:line="240" w:lineRule="auto"/>
              <w:jc w:val="both"/>
            </w:pPr>
            <w:r>
              <w:t xml:space="preserve">Przebudowa obejmuje roboty budowlane, </w:t>
            </w:r>
            <w:r>
              <w:br/>
            </w:r>
            <w:r>
              <w:t xml:space="preserve">w wyniku których zmianie ulegają </w:t>
            </w:r>
            <w:r>
              <w:lastRenderedPageBreak/>
              <w:t>charakterystyczne parametry w zakresie niewymagającym zmiany granic pasa drogowego.</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lastRenderedPageBreak/>
              <w:t>10</w:t>
            </w:r>
          </w:p>
        </w:tc>
        <w:tc>
          <w:tcPr>
            <w:tcW w:w="0" w:type="auto"/>
            <w:shd w:val="clear" w:color="auto" w:fill="FFFFFF"/>
            <w:vAlign w:val="center"/>
          </w:tcPr>
          <w:p w:rsidR="00042216" w:rsidRPr="005B30A9" w:rsidRDefault="008F6A86" w:rsidP="008D2CCD">
            <w:pPr>
              <w:spacing w:after="0" w:line="240" w:lineRule="auto"/>
              <w:jc w:val="center"/>
              <w:rPr>
                <w:b/>
              </w:rPr>
            </w:pPr>
            <w:r w:rsidRPr="008F6A86">
              <w:rPr>
                <w:b/>
              </w:rPr>
              <w:t>Liczba wybudowanych obiektów „parkuj i jedź”</w:t>
            </w:r>
          </w:p>
        </w:tc>
        <w:tc>
          <w:tcPr>
            <w:tcW w:w="1519" w:type="dxa"/>
            <w:shd w:val="clear" w:color="auto" w:fill="FFFFFF"/>
            <w:vAlign w:val="center"/>
          </w:tcPr>
          <w:p w:rsidR="00042216" w:rsidRDefault="008F6A86" w:rsidP="000E32B0">
            <w:pPr>
              <w:spacing w:after="0" w:line="240" w:lineRule="auto"/>
              <w:jc w:val="center"/>
              <w:rPr>
                <w:rFonts w:asciiTheme="minorHAnsi" w:hAnsiTheme="minorHAnsi" w:cs="Arial"/>
              </w:rPr>
            </w:pPr>
            <w:r w:rsidRPr="008F6A86">
              <w:rPr>
                <w:rFonts w:asciiTheme="minorHAnsi" w:hAnsiTheme="minorHAnsi" w:cs="Arial"/>
              </w:rPr>
              <w:t>szt.</w:t>
            </w:r>
          </w:p>
        </w:tc>
        <w:tc>
          <w:tcPr>
            <w:tcW w:w="4551" w:type="dxa"/>
            <w:shd w:val="clear" w:color="auto" w:fill="FFFFFF"/>
            <w:vAlign w:val="center"/>
          </w:tcPr>
          <w:p w:rsidR="00DB06B6" w:rsidRDefault="00DB06B6" w:rsidP="001E5013">
            <w:pPr>
              <w:spacing w:before="120" w:after="120" w:line="240" w:lineRule="auto"/>
              <w:jc w:val="both"/>
            </w:pPr>
            <w:r>
              <w:t>Liczba wybudowanych parkingów w systemie „parkuj i jedź” („</w:t>
            </w:r>
            <w:proofErr w:type="spellStart"/>
            <w:r>
              <w:t>Park&amp;Ride</w:t>
            </w:r>
            <w:proofErr w:type="spellEnd"/>
            <w:r>
              <w:t xml:space="preserve">”), umożliwiających  skorzystanie z transportu zbiorowego. </w:t>
            </w:r>
          </w:p>
          <w:p w:rsidR="00DB06B6" w:rsidRPr="008D2CCD" w:rsidRDefault="00DB06B6" w:rsidP="001E5013">
            <w:pPr>
              <w:spacing w:after="120" w:line="240" w:lineRule="auto"/>
              <w:jc w:val="both"/>
            </w:pPr>
            <w:r w:rsidRPr="001B7B2E">
              <w:rPr>
                <w:b/>
                <w:u w:val="single"/>
              </w:rPr>
              <w:t xml:space="preserve">Parking „Park &amp; </w:t>
            </w:r>
            <w:proofErr w:type="spellStart"/>
            <w:r w:rsidRPr="001B7B2E">
              <w:rPr>
                <w:b/>
                <w:u w:val="single"/>
              </w:rPr>
              <w:t>Ride</w:t>
            </w:r>
            <w:proofErr w:type="spellEnd"/>
            <w:r w:rsidRPr="001B7B2E">
              <w:rPr>
                <w:b/>
                <w:u w:val="single"/>
              </w:rPr>
              <w:t>"</w:t>
            </w:r>
            <w:r>
              <w:t xml:space="preserve"> – parking przesiadkowy, który powstał w celu zamiany transportu indywidualnego na zbiorowy. Parking „Park &amp; </w:t>
            </w:r>
            <w:proofErr w:type="spellStart"/>
            <w:r>
              <w:t>Ride</w:t>
            </w:r>
            <w:proofErr w:type="spellEnd"/>
            <w:r>
              <w:t>" (”Parkuj i Jedź") przeznaczony jest do czasowego postoju pojazdów na/w wydzielonym placu/ulicy/ budynku, zwłaszcza na krańcowych przystankach komunikacyjnych.</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t>11</w:t>
            </w:r>
          </w:p>
        </w:tc>
        <w:tc>
          <w:tcPr>
            <w:tcW w:w="0" w:type="auto"/>
            <w:shd w:val="clear" w:color="auto" w:fill="FFFFFF"/>
            <w:vAlign w:val="center"/>
          </w:tcPr>
          <w:p w:rsidR="00042216" w:rsidRPr="005B30A9" w:rsidRDefault="00DB06B6" w:rsidP="008D2CCD">
            <w:pPr>
              <w:spacing w:after="0" w:line="240" w:lineRule="auto"/>
              <w:jc w:val="center"/>
              <w:rPr>
                <w:b/>
              </w:rPr>
            </w:pPr>
            <w:r w:rsidRPr="00DB06B6">
              <w:rPr>
                <w:b/>
              </w:rPr>
              <w:t>Liczba miejsc postojowych w wybudowanych obiektach „parkuj i jedź”</w:t>
            </w:r>
          </w:p>
        </w:tc>
        <w:tc>
          <w:tcPr>
            <w:tcW w:w="1519" w:type="dxa"/>
            <w:shd w:val="clear" w:color="auto" w:fill="FFFFFF"/>
            <w:vAlign w:val="center"/>
          </w:tcPr>
          <w:p w:rsidR="00042216" w:rsidRDefault="00DB06B6" w:rsidP="000E32B0">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rsidR="00042216" w:rsidRPr="008D2CCD" w:rsidRDefault="00DB06B6" w:rsidP="001E5013">
            <w:pPr>
              <w:spacing w:before="120" w:after="120" w:line="240" w:lineRule="auto"/>
              <w:jc w:val="both"/>
            </w:pPr>
            <w:r w:rsidRPr="00DB06B6">
              <w:t>Liczba stanowisk przeznaczonych do postoju pojazdów (samochodów osobowych, busów, motocykli itp.), znajdujących się na terenie parkingu  w systemie „parkuj i jedź” („</w:t>
            </w:r>
            <w:proofErr w:type="spellStart"/>
            <w:r w:rsidRPr="00DB06B6">
              <w:t>Park&amp;Ride</w:t>
            </w:r>
            <w:proofErr w:type="spellEnd"/>
            <w:r w:rsidRPr="00DB06B6">
              <w:t>”).</w:t>
            </w:r>
          </w:p>
        </w:tc>
      </w:tr>
      <w:tr w:rsidR="008F6A86" w:rsidRPr="000E32B0" w:rsidTr="00CB600C">
        <w:trPr>
          <w:trHeight w:val="575"/>
        </w:trPr>
        <w:tc>
          <w:tcPr>
            <w:tcW w:w="0" w:type="auto"/>
            <w:shd w:val="clear" w:color="auto" w:fill="FFFFFF"/>
            <w:vAlign w:val="center"/>
          </w:tcPr>
          <w:p w:rsidR="008F6A86" w:rsidRDefault="00214049" w:rsidP="00FD1DCA">
            <w:pPr>
              <w:spacing w:after="0" w:line="240" w:lineRule="auto"/>
              <w:jc w:val="center"/>
              <w:rPr>
                <w:rFonts w:asciiTheme="minorHAnsi" w:hAnsiTheme="minorHAnsi"/>
              </w:rPr>
            </w:pPr>
            <w:r>
              <w:rPr>
                <w:rFonts w:asciiTheme="minorHAnsi" w:hAnsiTheme="minorHAnsi"/>
              </w:rPr>
              <w:t>12</w:t>
            </w:r>
          </w:p>
        </w:tc>
        <w:tc>
          <w:tcPr>
            <w:tcW w:w="0" w:type="auto"/>
            <w:shd w:val="clear" w:color="auto" w:fill="FFFFFF"/>
            <w:vAlign w:val="center"/>
          </w:tcPr>
          <w:p w:rsidR="008F6A86" w:rsidRPr="005B30A9" w:rsidRDefault="00DB06B6" w:rsidP="008D2CCD">
            <w:pPr>
              <w:spacing w:after="0" w:line="240" w:lineRule="auto"/>
              <w:jc w:val="center"/>
              <w:rPr>
                <w:b/>
              </w:rPr>
            </w:pPr>
            <w:r w:rsidRPr="00DB06B6">
              <w:rPr>
                <w:b/>
              </w:rPr>
              <w:t xml:space="preserve">Liczba miejsc postojowych dla osób niepełnosprawnych </w:t>
            </w:r>
            <w:r w:rsidR="00A15AEA">
              <w:rPr>
                <w:b/>
              </w:rPr>
              <w:br/>
            </w:r>
            <w:r w:rsidRPr="00DB06B6">
              <w:rPr>
                <w:b/>
              </w:rPr>
              <w:t>w wybudowanych obiektach „parkuj i jedź”</w:t>
            </w:r>
          </w:p>
        </w:tc>
        <w:tc>
          <w:tcPr>
            <w:tcW w:w="1519" w:type="dxa"/>
            <w:shd w:val="clear" w:color="auto" w:fill="FFFFFF"/>
            <w:vAlign w:val="center"/>
          </w:tcPr>
          <w:p w:rsidR="008F6A86" w:rsidRDefault="00DB06B6" w:rsidP="000E32B0">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rsidR="008F6A86" w:rsidRPr="008D2CCD" w:rsidRDefault="00DB06B6" w:rsidP="001E5013">
            <w:pPr>
              <w:spacing w:before="120" w:after="120" w:line="240" w:lineRule="auto"/>
              <w:jc w:val="both"/>
            </w:pPr>
            <w:r w:rsidRPr="00DB06B6">
              <w:t>Liczba stanowisk dla osób niepełnosprawnych przeznaczonych do postoju pojazdów, znajdujących się na terenie parkingu w systemie „parkuj i jedź” („</w:t>
            </w:r>
            <w:proofErr w:type="spellStart"/>
            <w:r w:rsidRPr="00DB06B6">
              <w:t>Park&amp;Ride</w:t>
            </w:r>
            <w:proofErr w:type="spellEnd"/>
            <w:r w:rsidRPr="00DB06B6">
              <w:t>”).</w:t>
            </w:r>
          </w:p>
        </w:tc>
      </w:tr>
      <w:tr w:rsidR="008F6A86" w:rsidRPr="000E32B0" w:rsidTr="00CB600C">
        <w:trPr>
          <w:trHeight w:val="575"/>
        </w:trPr>
        <w:tc>
          <w:tcPr>
            <w:tcW w:w="0" w:type="auto"/>
            <w:shd w:val="clear" w:color="auto" w:fill="FFFFFF"/>
            <w:vAlign w:val="center"/>
          </w:tcPr>
          <w:p w:rsidR="008F6A86" w:rsidRDefault="00214049" w:rsidP="00FD1DCA">
            <w:pPr>
              <w:spacing w:after="0" w:line="240" w:lineRule="auto"/>
              <w:jc w:val="center"/>
              <w:rPr>
                <w:rFonts w:asciiTheme="minorHAnsi" w:hAnsiTheme="minorHAnsi"/>
              </w:rPr>
            </w:pPr>
            <w:r>
              <w:rPr>
                <w:rFonts w:asciiTheme="minorHAnsi" w:hAnsiTheme="minorHAnsi"/>
              </w:rPr>
              <w:t>13</w:t>
            </w:r>
          </w:p>
        </w:tc>
        <w:tc>
          <w:tcPr>
            <w:tcW w:w="0" w:type="auto"/>
            <w:shd w:val="clear" w:color="auto" w:fill="FFFFFF"/>
            <w:vAlign w:val="center"/>
          </w:tcPr>
          <w:p w:rsidR="008F6A86" w:rsidRPr="005B30A9" w:rsidRDefault="00DB06B6" w:rsidP="008D2CCD">
            <w:pPr>
              <w:spacing w:after="0" w:line="240" w:lineRule="auto"/>
              <w:jc w:val="center"/>
              <w:rPr>
                <w:b/>
              </w:rPr>
            </w:pPr>
            <w:r w:rsidRPr="00DB06B6">
              <w:rPr>
                <w:b/>
              </w:rPr>
              <w:t>Liczba wybudowanych obiektów „</w:t>
            </w:r>
            <w:proofErr w:type="spellStart"/>
            <w:r w:rsidRPr="00DB06B6">
              <w:rPr>
                <w:b/>
              </w:rPr>
              <w:t>Bike&amp;Ride</w:t>
            </w:r>
            <w:proofErr w:type="spellEnd"/>
            <w:r w:rsidRPr="00DB06B6">
              <w:rPr>
                <w:b/>
              </w:rPr>
              <w:t>”</w:t>
            </w:r>
          </w:p>
        </w:tc>
        <w:tc>
          <w:tcPr>
            <w:tcW w:w="1519" w:type="dxa"/>
            <w:shd w:val="clear" w:color="auto" w:fill="FFFFFF"/>
            <w:vAlign w:val="center"/>
          </w:tcPr>
          <w:p w:rsidR="008F6A86" w:rsidRDefault="00DB06B6" w:rsidP="000E32B0">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rsidR="00DB06B6" w:rsidRDefault="00DB06B6" w:rsidP="001E5013">
            <w:pPr>
              <w:spacing w:before="120" w:after="120" w:line="240" w:lineRule="auto"/>
              <w:jc w:val="both"/>
            </w:pPr>
            <w:r>
              <w:t>Liczba wybudowanych parkingów przeznaczonych do czasowego pozostawiania rowerów, w celu umożliwienia zmiany środka transportu na transport zbiorowego.</w:t>
            </w:r>
          </w:p>
          <w:p w:rsidR="008F6A86" w:rsidRPr="008D2CCD" w:rsidRDefault="00DB06B6" w:rsidP="001E5013">
            <w:pPr>
              <w:spacing w:after="120" w:line="240" w:lineRule="auto"/>
              <w:jc w:val="both"/>
            </w:pPr>
            <w:r w:rsidRPr="0032358A">
              <w:rPr>
                <w:b/>
                <w:u w:val="single"/>
              </w:rPr>
              <w:t>Obiekt „</w:t>
            </w:r>
            <w:proofErr w:type="spellStart"/>
            <w:r w:rsidRPr="0032358A">
              <w:rPr>
                <w:b/>
                <w:u w:val="single"/>
              </w:rPr>
              <w:t>Bike&amp;Ride</w:t>
            </w:r>
            <w:proofErr w:type="spellEnd"/>
            <w:r w:rsidRPr="0032358A">
              <w:rPr>
                <w:b/>
                <w:u w:val="single"/>
              </w:rPr>
              <w:t>”</w:t>
            </w:r>
            <w:r>
              <w:t xml:space="preserve"> – parking przeznaczony do czasowego pozostawiania rowerów,  w celu umożliwienia zmiany środka transportu na transport zbiorowego.</w:t>
            </w:r>
          </w:p>
        </w:tc>
      </w:tr>
      <w:tr w:rsidR="00DB06B6" w:rsidRPr="000E32B0" w:rsidTr="00CB600C">
        <w:trPr>
          <w:trHeight w:val="575"/>
        </w:trPr>
        <w:tc>
          <w:tcPr>
            <w:tcW w:w="0" w:type="auto"/>
            <w:shd w:val="clear" w:color="auto" w:fill="FFFFFF"/>
            <w:vAlign w:val="center"/>
          </w:tcPr>
          <w:p w:rsidR="00DB06B6" w:rsidRDefault="00214049" w:rsidP="00DB06B6">
            <w:pPr>
              <w:spacing w:after="0" w:line="240" w:lineRule="auto"/>
              <w:jc w:val="center"/>
              <w:rPr>
                <w:rFonts w:asciiTheme="minorHAnsi" w:hAnsiTheme="minorHAnsi"/>
              </w:rPr>
            </w:pPr>
            <w:r>
              <w:rPr>
                <w:rFonts w:asciiTheme="minorHAnsi" w:hAnsiTheme="minorHAnsi"/>
              </w:rPr>
              <w:t>14</w:t>
            </w:r>
          </w:p>
        </w:tc>
        <w:tc>
          <w:tcPr>
            <w:tcW w:w="0" w:type="auto"/>
            <w:shd w:val="clear" w:color="auto" w:fill="FFFFFF"/>
            <w:vAlign w:val="center"/>
          </w:tcPr>
          <w:p w:rsidR="00DB06B6" w:rsidRPr="005B30A9" w:rsidRDefault="00DB06B6" w:rsidP="00DB06B6">
            <w:pPr>
              <w:spacing w:after="0" w:line="240" w:lineRule="auto"/>
              <w:jc w:val="center"/>
              <w:rPr>
                <w:b/>
              </w:rPr>
            </w:pPr>
            <w:r w:rsidRPr="00DB06B6">
              <w:rPr>
                <w:b/>
              </w:rPr>
              <w:t>Liczba wybudowanych obiektów „</w:t>
            </w:r>
            <w:proofErr w:type="spellStart"/>
            <w:r w:rsidRPr="00DB06B6">
              <w:rPr>
                <w:b/>
              </w:rPr>
              <w:t>Kiss&amp;Ride</w:t>
            </w:r>
            <w:proofErr w:type="spellEnd"/>
            <w:r w:rsidRPr="00DB06B6">
              <w:rPr>
                <w:b/>
              </w:rPr>
              <w:t>”</w:t>
            </w:r>
          </w:p>
        </w:tc>
        <w:tc>
          <w:tcPr>
            <w:tcW w:w="1519" w:type="dxa"/>
            <w:shd w:val="clear" w:color="auto" w:fill="FFFFFF"/>
            <w:vAlign w:val="center"/>
          </w:tcPr>
          <w:p w:rsidR="00DB06B6" w:rsidRDefault="00DB06B6" w:rsidP="00DB06B6">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rsidR="00DB06B6" w:rsidRDefault="00DB06B6" w:rsidP="001E5013">
            <w:pPr>
              <w:spacing w:before="120" w:after="120" w:line="240" w:lineRule="auto"/>
              <w:jc w:val="both"/>
            </w:pPr>
            <w:r>
              <w:t>Liczba wybudowanych obiektów przeznaczonych do czasowego zatrzymania samochodu w celu umożliwienia współpasażerom zmiany środka transportu na transport zbiorowy.</w:t>
            </w:r>
          </w:p>
          <w:p w:rsidR="00DB06B6" w:rsidRPr="008D2CCD" w:rsidRDefault="00DB06B6" w:rsidP="001E5013">
            <w:pPr>
              <w:spacing w:after="120" w:line="240" w:lineRule="auto"/>
              <w:jc w:val="both"/>
            </w:pPr>
            <w:r w:rsidRPr="0032358A">
              <w:rPr>
                <w:b/>
                <w:u w:val="single"/>
              </w:rPr>
              <w:t>Obiekt „</w:t>
            </w:r>
            <w:proofErr w:type="spellStart"/>
            <w:r w:rsidRPr="0032358A">
              <w:rPr>
                <w:b/>
                <w:u w:val="single"/>
              </w:rPr>
              <w:t>Kiss&amp;Ride</w:t>
            </w:r>
            <w:proofErr w:type="spellEnd"/>
            <w:r w:rsidRPr="0032358A">
              <w:rPr>
                <w:b/>
                <w:u w:val="single"/>
              </w:rPr>
              <w:t>”</w:t>
            </w:r>
            <w:r>
              <w:t xml:space="preserve"> – miejsce przeznaczone do czasowego zatrzymania samochodu  w celu umożliwienia współpasażerom zmiany środka transportu na transport zbiorowy.</w:t>
            </w:r>
          </w:p>
        </w:tc>
      </w:tr>
      <w:tr w:rsidR="00042216" w:rsidRPr="000E32B0" w:rsidTr="00CB600C">
        <w:trPr>
          <w:trHeight w:val="575"/>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t>15</w:t>
            </w:r>
          </w:p>
        </w:tc>
        <w:tc>
          <w:tcPr>
            <w:tcW w:w="0" w:type="auto"/>
            <w:shd w:val="clear" w:color="auto" w:fill="FFFFFF"/>
            <w:vAlign w:val="center"/>
          </w:tcPr>
          <w:p w:rsidR="00042216" w:rsidRPr="005B30A9" w:rsidRDefault="00DB06B6" w:rsidP="008D2CCD">
            <w:pPr>
              <w:spacing w:after="0" w:line="240" w:lineRule="auto"/>
              <w:jc w:val="center"/>
              <w:rPr>
                <w:b/>
              </w:rPr>
            </w:pPr>
            <w:r w:rsidRPr="00DB06B6">
              <w:rPr>
                <w:b/>
              </w:rPr>
              <w:t>Liczba stanowisk postojowych w wybudowanych obiektach „</w:t>
            </w:r>
            <w:proofErr w:type="spellStart"/>
            <w:r w:rsidRPr="00DB06B6">
              <w:rPr>
                <w:b/>
              </w:rPr>
              <w:t>Bike&amp;Ride</w:t>
            </w:r>
            <w:proofErr w:type="spellEnd"/>
            <w:r w:rsidRPr="00DB06B6">
              <w:rPr>
                <w:b/>
              </w:rPr>
              <w:t>”</w:t>
            </w:r>
          </w:p>
        </w:tc>
        <w:tc>
          <w:tcPr>
            <w:tcW w:w="1519" w:type="dxa"/>
            <w:shd w:val="clear" w:color="auto" w:fill="FFFFFF"/>
            <w:vAlign w:val="center"/>
          </w:tcPr>
          <w:p w:rsidR="00042216" w:rsidRDefault="00DB06B6" w:rsidP="000E32B0">
            <w:pPr>
              <w:spacing w:after="0" w:line="240" w:lineRule="auto"/>
              <w:jc w:val="center"/>
              <w:rPr>
                <w:rFonts w:asciiTheme="minorHAnsi" w:hAnsiTheme="minorHAnsi" w:cs="Arial"/>
              </w:rPr>
            </w:pPr>
            <w:r w:rsidRPr="00DB06B6">
              <w:rPr>
                <w:rFonts w:asciiTheme="minorHAnsi" w:hAnsiTheme="minorHAnsi" w:cs="Arial"/>
              </w:rPr>
              <w:t>szt.</w:t>
            </w:r>
          </w:p>
        </w:tc>
        <w:tc>
          <w:tcPr>
            <w:tcW w:w="4551" w:type="dxa"/>
            <w:shd w:val="clear" w:color="auto" w:fill="FFFFFF"/>
            <w:vAlign w:val="center"/>
          </w:tcPr>
          <w:p w:rsidR="00042216" w:rsidRPr="008D2CCD" w:rsidRDefault="00DB06B6" w:rsidP="001E5013">
            <w:pPr>
              <w:spacing w:before="120" w:after="120" w:line="240" w:lineRule="auto"/>
              <w:jc w:val="both"/>
            </w:pPr>
            <w:r w:rsidRPr="00DB06B6">
              <w:t>Liczba stanowisk przeznaczonych do umocowania ramy roweru, znajdujących się na terenie parkingu przeznaczonego do pozostawiania rowerów.</w:t>
            </w:r>
          </w:p>
        </w:tc>
      </w:tr>
      <w:tr w:rsidR="00042216" w:rsidRPr="000E32B0" w:rsidTr="009F715E">
        <w:trPr>
          <w:trHeight w:val="283"/>
        </w:trPr>
        <w:tc>
          <w:tcPr>
            <w:tcW w:w="0" w:type="auto"/>
            <w:shd w:val="clear" w:color="auto" w:fill="FFFFFF"/>
            <w:vAlign w:val="center"/>
          </w:tcPr>
          <w:p w:rsidR="00042216" w:rsidRDefault="00214049" w:rsidP="00FD1DCA">
            <w:pPr>
              <w:spacing w:after="0" w:line="240" w:lineRule="auto"/>
              <w:jc w:val="center"/>
              <w:rPr>
                <w:rFonts w:asciiTheme="minorHAnsi" w:hAnsiTheme="minorHAnsi"/>
              </w:rPr>
            </w:pPr>
            <w:r>
              <w:rPr>
                <w:rFonts w:asciiTheme="minorHAnsi" w:hAnsiTheme="minorHAnsi"/>
              </w:rPr>
              <w:t>16</w:t>
            </w:r>
          </w:p>
        </w:tc>
        <w:tc>
          <w:tcPr>
            <w:tcW w:w="0" w:type="auto"/>
            <w:shd w:val="clear" w:color="auto" w:fill="FFFFFF"/>
            <w:vAlign w:val="center"/>
          </w:tcPr>
          <w:p w:rsidR="00042216" w:rsidRPr="005B30A9" w:rsidRDefault="00DB06B6" w:rsidP="008D2CCD">
            <w:pPr>
              <w:spacing w:after="0" w:line="240" w:lineRule="auto"/>
              <w:jc w:val="center"/>
              <w:rPr>
                <w:b/>
              </w:rPr>
            </w:pPr>
            <w:r w:rsidRPr="00DB06B6">
              <w:rPr>
                <w:b/>
              </w:rPr>
              <w:t xml:space="preserve">Liczba wybudowanych </w:t>
            </w:r>
            <w:r w:rsidRPr="00DB06B6">
              <w:rPr>
                <w:b/>
              </w:rPr>
              <w:lastRenderedPageBreak/>
              <w:t xml:space="preserve">zintegrowanych węzłów przesiadkowych  </w:t>
            </w:r>
          </w:p>
        </w:tc>
        <w:tc>
          <w:tcPr>
            <w:tcW w:w="1519" w:type="dxa"/>
            <w:shd w:val="clear" w:color="auto" w:fill="FFFFFF"/>
            <w:vAlign w:val="center"/>
          </w:tcPr>
          <w:p w:rsidR="00042216" w:rsidRDefault="00DB06B6" w:rsidP="000E32B0">
            <w:pPr>
              <w:spacing w:after="0" w:line="240" w:lineRule="auto"/>
              <w:jc w:val="center"/>
              <w:rPr>
                <w:rFonts w:asciiTheme="minorHAnsi" w:hAnsiTheme="minorHAnsi" w:cs="Arial"/>
              </w:rPr>
            </w:pPr>
            <w:r w:rsidRPr="00DB06B6">
              <w:rPr>
                <w:rFonts w:asciiTheme="minorHAnsi" w:hAnsiTheme="minorHAnsi" w:cs="Arial"/>
              </w:rPr>
              <w:lastRenderedPageBreak/>
              <w:t>szt.</w:t>
            </w:r>
          </w:p>
        </w:tc>
        <w:tc>
          <w:tcPr>
            <w:tcW w:w="4551" w:type="dxa"/>
            <w:shd w:val="clear" w:color="auto" w:fill="FFFFFF"/>
            <w:vAlign w:val="center"/>
          </w:tcPr>
          <w:p w:rsidR="00DB06B6" w:rsidRDefault="00DB06B6" w:rsidP="001E5013">
            <w:pPr>
              <w:spacing w:before="120" w:after="120" w:line="240" w:lineRule="auto"/>
              <w:jc w:val="both"/>
            </w:pPr>
            <w:r w:rsidRPr="00DB06B6">
              <w:t xml:space="preserve">Liczba zintegrowanych węzłów przesiadkowych </w:t>
            </w:r>
            <w:r w:rsidRPr="00DB06B6">
              <w:lastRenderedPageBreak/>
              <w:t xml:space="preserve">zapewniających możliwość przesiadania się pomiędzy środkami transportu publicznego lub pomiędzy systemami transportu publicznego </w:t>
            </w:r>
            <w:r w:rsidR="009F715E">
              <w:br/>
            </w:r>
            <w:r w:rsidRPr="00DB06B6">
              <w:t>i indywidualnego.</w:t>
            </w:r>
          </w:p>
          <w:p w:rsidR="00DB06B6" w:rsidRPr="008D2CCD" w:rsidRDefault="00DB06B6" w:rsidP="001E5013">
            <w:pPr>
              <w:spacing w:after="120" w:line="240" w:lineRule="auto"/>
              <w:jc w:val="both"/>
            </w:pPr>
            <w:r w:rsidRPr="009F715E">
              <w:rPr>
                <w:b/>
                <w:u w:val="single"/>
              </w:rPr>
              <w:t>Zintegrowany węzeł przesiadkowy</w:t>
            </w:r>
            <w:r w:rsidRPr="00DB06B6">
              <w:t xml:space="preserve"> (zgodnie </w:t>
            </w:r>
            <w:r w:rsidR="009F715E">
              <w:br/>
            </w:r>
            <w:r w:rsidRPr="00DB06B6">
              <w:t xml:space="preserve">z ustawą z dnia 16 grudnia 2010 r.  o publicznym transporcie zbiorowym) –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w:t>
            </w:r>
            <w:r w:rsidR="009F715E">
              <w:br/>
            </w:r>
            <w:r w:rsidRPr="00DB06B6">
              <w:t>z rozkładem jazdy, linią komunikacyjną lub siecią komunikacyjną.</w:t>
            </w:r>
          </w:p>
        </w:tc>
      </w:tr>
      <w:tr w:rsidR="000E32B0" w:rsidRPr="000E32B0" w:rsidTr="00CB600C">
        <w:trPr>
          <w:trHeight w:val="575"/>
        </w:trPr>
        <w:tc>
          <w:tcPr>
            <w:tcW w:w="0" w:type="auto"/>
            <w:shd w:val="clear" w:color="auto" w:fill="FFFFFF"/>
            <w:vAlign w:val="center"/>
          </w:tcPr>
          <w:p w:rsidR="000E32B0" w:rsidRPr="000E32B0" w:rsidRDefault="00214049" w:rsidP="00FD1DCA">
            <w:pPr>
              <w:spacing w:after="0" w:line="240" w:lineRule="auto"/>
              <w:jc w:val="center"/>
              <w:rPr>
                <w:rFonts w:asciiTheme="minorHAnsi" w:hAnsiTheme="minorHAnsi"/>
              </w:rPr>
            </w:pPr>
            <w:r>
              <w:rPr>
                <w:rFonts w:asciiTheme="minorHAnsi" w:hAnsiTheme="minorHAnsi"/>
              </w:rPr>
              <w:lastRenderedPageBreak/>
              <w:t>17</w:t>
            </w:r>
          </w:p>
        </w:tc>
        <w:tc>
          <w:tcPr>
            <w:tcW w:w="0" w:type="auto"/>
            <w:shd w:val="clear" w:color="auto" w:fill="FFFFFF"/>
            <w:vAlign w:val="center"/>
          </w:tcPr>
          <w:p w:rsidR="000E32B0" w:rsidRPr="008D2CCD" w:rsidRDefault="00DB06B6" w:rsidP="008D2CCD">
            <w:pPr>
              <w:spacing w:after="0" w:line="240" w:lineRule="auto"/>
              <w:jc w:val="center"/>
              <w:rPr>
                <w:b/>
              </w:rPr>
            </w:pPr>
            <w:r w:rsidRPr="00DB06B6">
              <w:rPr>
                <w:b/>
              </w:rPr>
              <w:t xml:space="preserve">Długość wyznaczonych buspasów  </w:t>
            </w:r>
          </w:p>
        </w:tc>
        <w:tc>
          <w:tcPr>
            <w:tcW w:w="1519" w:type="dxa"/>
            <w:shd w:val="clear" w:color="auto" w:fill="FFFFFF"/>
            <w:vAlign w:val="center"/>
          </w:tcPr>
          <w:p w:rsidR="000E32B0" w:rsidRPr="000E32B0" w:rsidRDefault="00DB06B6" w:rsidP="000E32B0">
            <w:pPr>
              <w:spacing w:after="0" w:line="240" w:lineRule="auto"/>
              <w:jc w:val="center"/>
              <w:rPr>
                <w:rFonts w:asciiTheme="minorHAnsi" w:hAnsiTheme="minorHAnsi" w:cs="Arial"/>
              </w:rPr>
            </w:pPr>
            <w:r w:rsidRPr="00DB06B6">
              <w:rPr>
                <w:rFonts w:asciiTheme="minorHAnsi" w:hAnsiTheme="minorHAnsi" w:cs="Arial"/>
              </w:rPr>
              <w:t>km</w:t>
            </w:r>
          </w:p>
        </w:tc>
        <w:tc>
          <w:tcPr>
            <w:tcW w:w="4551" w:type="dxa"/>
            <w:shd w:val="clear" w:color="auto" w:fill="FFFFFF"/>
            <w:vAlign w:val="center"/>
          </w:tcPr>
          <w:p w:rsidR="00DB06B6" w:rsidRPr="00DB06B6" w:rsidRDefault="00DB06B6" w:rsidP="001E5013">
            <w:pPr>
              <w:spacing w:before="120" w:after="120" w:line="240" w:lineRule="auto"/>
              <w:jc w:val="both"/>
              <w:rPr>
                <w:rFonts w:asciiTheme="minorHAnsi" w:eastAsia="Times New Roman" w:hAnsiTheme="minorHAnsi"/>
                <w:lang w:eastAsia="pl-PL"/>
              </w:rPr>
            </w:pPr>
            <w:r w:rsidRPr="00DB06B6">
              <w:rPr>
                <w:rFonts w:asciiTheme="minorHAnsi" w:eastAsia="Times New Roman" w:hAnsiTheme="minorHAnsi"/>
                <w:lang w:eastAsia="pl-PL"/>
              </w:rPr>
              <w:t xml:space="preserve">Długość buspasów wyznaczonych w wyniku realizacji projektu. </w:t>
            </w:r>
          </w:p>
          <w:p w:rsidR="000E32B0" w:rsidRPr="008D2CCD" w:rsidRDefault="00DB06B6" w:rsidP="001E5013">
            <w:pPr>
              <w:spacing w:after="120" w:line="240" w:lineRule="auto"/>
              <w:jc w:val="both"/>
              <w:rPr>
                <w:rFonts w:asciiTheme="minorHAnsi" w:eastAsia="Times New Roman" w:hAnsiTheme="minorHAnsi"/>
                <w:lang w:eastAsia="pl-PL"/>
              </w:rPr>
            </w:pPr>
            <w:r w:rsidRPr="009F715E">
              <w:rPr>
                <w:rFonts w:asciiTheme="minorHAnsi" w:eastAsia="Times New Roman" w:hAnsiTheme="minorHAnsi"/>
                <w:b/>
                <w:u w:val="single"/>
                <w:lang w:eastAsia="pl-PL"/>
              </w:rPr>
              <w:t>Buspas</w:t>
            </w:r>
            <w:r w:rsidRPr="00DB06B6">
              <w:rPr>
                <w:rFonts w:asciiTheme="minorHAnsi" w:eastAsia="Times New Roman" w:hAnsiTheme="minorHAnsi"/>
                <w:lang w:eastAsia="pl-PL"/>
              </w:rPr>
              <w:t xml:space="preserve"> – pas ruchu dla autobusów (względnie innych pojazdów uprzywilejowanych) wytyczony w celu usprawnienia transportu miejskiego.</w:t>
            </w:r>
          </w:p>
        </w:tc>
      </w:tr>
      <w:tr w:rsidR="00BA31B8" w:rsidRPr="000E32B0" w:rsidTr="00BA31B8">
        <w:trPr>
          <w:trHeight w:val="575"/>
        </w:trPr>
        <w:tc>
          <w:tcPr>
            <w:tcW w:w="9214" w:type="dxa"/>
            <w:gridSpan w:val="4"/>
            <w:shd w:val="clear" w:color="auto" w:fill="F2F2F2" w:themeFill="background1" w:themeFillShade="F2"/>
            <w:vAlign w:val="center"/>
          </w:tcPr>
          <w:p w:rsidR="00BA31B8" w:rsidRPr="000E32B0" w:rsidRDefault="00BA31B8" w:rsidP="00BA31B8">
            <w:pPr>
              <w:spacing w:after="0" w:line="240" w:lineRule="auto"/>
              <w:jc w:val="center"/>
              <w:rPr>
                <w:rFonts w:asciiTheme="minorHAnsi" w:hAnsiTheme="minorHAnsi" w:cs="Arial"/>
              </w:rPr>
            </w:pPr>
            <w:r>
              <w:rPr>
                <w:rFonts w:asciiTheme="minorHAnsi" w:hAnsiTheme="minorHAnsi" w:cs="Arial"/>
                <w:b/>
              </w:rPr>
              <w:t>Horyzontalny wskaźnik produktu</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obiektów dostosowanych do potrzeb osób z niepełnosprawnościami</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4F04EB" w:rsidRDefault="004F04EB" w:rsidP="001E5013">
            <w:pPr>
              <w:spacing w:before="120" w:after="120" w:line="240" w:lineRule="auto"/>
              <w:jc w:val="both"/>
            </w:pPr>
            <w:r>
              <w:t xml:space="preserve">Wskaźnik odnosi się do liczby obiektów, które zaopatrzono w specjalne podjazdy, windy, urządzenia głośnomówiące, bądź inne rozwiązania umożliwiające dostęp (tj. usunięcie barier w dostępie, w szczególności barier architektonicznych) do tych obiektów </w:t>
            </w:r>
            <w:r>
              <w:br/>
              <w:t xml:space="preserve">i poruszanie się po nich osobom </w:t>
            </w:r>
            <w:r>
              <w:br/>
              <w:t xml:space="preserve">z niepełnosprawnościami ruchowymi czy sensorycznymi. Jako obiekty budowlane należy rozumieć konstrukcje połączone z gruntem </w:t>
            </w:r>
            <w:r>
              <w:br/>
              <w:t>w sposób trwały, wykonane z materiałów budowlanych i elementów składowych, będące wynikiem prac budowlanych.</w:t>
            </w:r>
          </w:p>
          <w:p w:rsidR="00BA31B8" w:rsidRPr="000E32B0" w:rsidRDefault="004F04EB" w:rsidP="001E5013">
            <w:pPr>
              <w:spacing w:after="120" w:line="240" w:lineRule="auto"/>
              <w:jc w:val="both"/>
              <w:rPr>
                <w:rFonts w:asciiTheme="minorHAnsi" w:hAnsiTheme="minorHAnsi" w:cs="Arial"/>
              </w:rPr>
            </w:pPr>
            <w:r>
              <w:t xml:space="preserve">Należy podać liczbę obiektów, w których zastosowano rozwiązania umożliwiające dostęp osobom z niepełnosprawnościami ruchowymi czy sensorycznymi lub zaopatrzonych w sprzęt, a nie liczbę sprzętów, urządzeń itp. Jeśli instytucja, zakład itp. składa się z kilku obiektów, należy zliczyć wszystkie, które dostosowano do potrzeb osób </w:t>
            </w:r>
            <w:r>
              <w:br/>
              <w:t xml:space="preserve">z niepełnosprawnościami. Wskaźnik mierzony </w:t>
            </w:r>
            <w:r>
              <w:br/>
              <w:t xml:space="preserve">w momencie rozliczenia wydatku związanego </w:t>
            </w:r>
            <w:r>
              <w:br/>
              <w:t xml:space="preserve">z dostosowaniem obiektów do potrzeb osób </w:t>
            </w:r>
            <w:r>
              <w:br/>
              <w:t>z niepełnosprawnościami w ramach danego projektu.</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lastRenderedPageBreak/>
              <w:t>2</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osób objętych szkoleniami / doradztwem w zakresie kompetencji cyfrowych</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osoby</w:t>
            </w:r>
          </w:p>
        </w:tc>
        <w:tc>
          <w:tcPr>
            <w:tcW w:w="4551" w:type="dxa"/>
            <w:shd w:val="clear" w:color="auto" w:fill="FFFFFF"/>
            <w:vAlign w:val="center"/>
          </w:tcPr>
          <w:p w:rsidR="004F04EB" w:rsidRDefault="004F04EB" w:rsidP="001E5013">
            <w:pPr>
              <w:spacing w:before="120" w:after="120" w:line="240" w:lineRule="auto"/>
              <w:jc w:val="both"/>
            </w:pPr>
            <w:r>
              <w:t xml:space="preserve">Wskaźnik mierzy liczbę osób objętych szkoleniami/doradztwem w zakresie nabywania/doskonalenia umiejętności warunkujących efektywne korzystanie z mediów elektronicznych, tj. m.in. korzystania </w:t>
            </w:r>
            <w:r>
              <w:br/>
              <w:t xml:space="preserve">z komputera, różnych rodzajów oprogramowania, </w:t>
            </w:r>
            <w:proofErr w:type="spellStart"/>
            <w:r>
              <w:t>internetu</w:t>
            </w:r>
            <w:proofErr w:type="spellEnd"/>
            <w:r>
              <w:t xml:space="preserve"> oraz kompetencji ściśle informatycznych (np. programowanie, zarządzanie bazami danych, administracja sieciami, administracja witrynami internetowymi).</w:t>
            </w:r>
          </w:p>
          <w:p w:rsidR="00BA31B8" w:rsidRPr="000E32B0" w:rsidRDefault="004F04EB" w:rsidP="001E5013">
            <w:pPr>
              <w:spacing w:after="120" w:line="240" w:lineRule="auto"/>
              <w:jc w:val="both"/>
              <w:rPr>
                <w:rFonts w:asciiTheme="minorHAnsi" w:hAnsiTheme="minorHAnsi" w:cs="Arial"/>
              </w:rPr>
            </w:pPr>
            <w:r>
              <w:t>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Liczba projektów, </w:t>
            </w:r>
            <w:r w:rsidR="00792457" w:rsidRPr="00A139A2">
              <w:rPr>
                <w:rFonts w:asciiTheme="minorHAnsi" w:hAnsiTheme="minorHAnsi"/>
                <w:color w:val="auto"/>
              </w:rPr>
              <w:br/>
            </w:r>
            <w:r w:rsidRPr="00A139A2">
              <w:rPr>
                <w:rFonts w:asciiTheme="minorHAnsi" w:hAnsiTheme="minorHAnsi"/>
                <w:color w:val="auto"/>
              </w:rPr>
              <w:t>w których sfinansowano koszty racjonalnych usprawnień dla osób z niepełnosprawnościami</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4F04EB" w:rsidRDefault="004F04EB" w:rsidP="001E5013">
            <w:pPr>
              <w:spacing w:before="120" w:after="120" w:line="240" w:lineRule="auto"/>
              <w:jc w:val="both"/>
            </w:pPr>
            <w:r>
              <w:t xml:space="preserve">Racjonalne usprawnienie oznacza konieczne </w:t>
            </w:r>
            <w:r w:rsidR="00CB600C">
              <w:br/>
            </w:r>
            <w:r>
              <w:t xml:space="preserve">i odpowiednie zmiany oraz dostosowania, nie nakładające nieproporcjonalnego lub nadmiernego obciążenia, 14 rozpatrywane osobno dla każdego konkretnego przypadku, </w:t>
            </w:r>
            <w:r w:rsidR="00CB600C">
              <w:br/>
            </w:r>
            <w:r>
              <w:t xml:space="preserve">w celu zapewnienia osobom </w:t>
            </w:r>
            <w:r w:rsidR="00CB600C">
              <w:br/>
            </w:r>
            <w:r>
              <w:t xml:space="preserve">z niepełnosprawnościami możliwości korzystania z wszelkich praw człowieka </w:t>
            </w:r>
            <w:r w:rsidR="00CB600C">
              <w:br/>
            </w:r>
            <w:r>
              <w:t>i podstawowych wolności oraz ich wykonywania na zasadzie równości z innymi osobami.</w:t>
            </w:r>
          </w:p>
          <w:p w:rsidR="00BA31B8" w:rsidRPr="000E32B0" w:rsidRDefault="004F04EB" w:rsidP="001E5013">
            <w:pPr>
              <w:spacing w:after="120" w:line="240" w:lineRule="auto"/>
              <w:jc w:val="both"/>
              <w:rPr>
                <w:rFonts w:asciiTheme="minorHAnsi" w:hAnsiTheme="minorHAnsi" w:cs="Arial"/>
              </w:rPr>
            </w:pPr>
            <w:r>
              <w:t>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r w:rsidR="00642FFA">
              <w:t>.</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lastRenderedPageBreak/>
              <w:t>4</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podmiotów wykorzystujących technologie informacyjno-komunikacyjne</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BB1ED4" w:rsidRDefault="004F04EB" w:rsidP="001E5013">
            <w:pPr>
              <w:spacing w:before="120" w:after="120" w:line="240" w:lineRule="auto"/>
              <w:jc w:val="both"/>
            </w:pPr>
            <w:r>
              <w:t xml:space="preserve">Wskaźnik mierzy liczbę podmiotów, które </w:t>
            </w:r>
            <w:r w:rsidR="00CB600C">
              <w:br/>
            </w:r>
            <w:r>
              <w:t xml:space="preserve">w celu realizacji projektu, zainwestowały </w:t>
            </w:r>
            <w:r w:rsidR="00CB600C">
              <w:br/>
            </w:r>
            <w:r>
              <w:t>w technologie informacyjno-komunikacyjne</w:t>
            </w:r>
            <w:r w:rsidR="00D0522C">
              <w:t xml:space="preserve"> (TIK)</w:t>
            </w:r>
            <w:r>
              <w:t>, a w przypadku projektów edukacyjno</w:t>
            </w:r>
            <w:r w:rsidR="00CB600C">
              <w:t>-</w:t>
            </w:r>
            <w:r>
              <w:t xml:space="preserve">szkoleniowych, również podmiotów, które podjęły działania upowszechniające wykorzystanie TIK. </w:t>
            </w:r>
          </w:p>
          <w:p w:rsidR="00BB1ED4" w:rsidRDefault="004F04EB" w:rsidP="00BB1ED4">
            <w:pPr>
              <w:spacing w:after="120" w:line="240" w:lineRule="auto"/>
              <w:jc w:val="both"/>
            </w:pPr>
            <w:r>
              <w:t>Przez technologie informacyjno-komunikacyjne (ang. ICT Information and Communications</w:t>
            </w:r>
            <w:r w:rsidR="005D437C">
              <w:t xml:space="preserve"> </w:t>
            </w:r>
            <w:r>
              <w:t xml:space="preserve">Technology) należy rozumieć technologie pozyskiwania/produkcji, gromadzenia/przechowywania, przesyłania, przetwarzania i rozpowszechniania informacji </w:t>
            </w:r>
            <w:r w:rsidR="00CB600C">
              <w:br/>
            </w:r>
            <w:r>
              <w:t xml:space="preserve">w formie elektronicznej z wykorzystaniem technik cyfrowych i wszelkich narzędzi komunikacji elektronicznej oraz wszelkie działania związane z produkcją </w:t>
            </w:r>
            <w:r w:rsidR="00CB600C">
              <w:br/>
            </w:r>
            <w:r w:rsidR="00964E77">
              <w:t xml:space="preserve">i wykorzystaniem </w:t>
            </w:r>
            <w:r w:rsidR="0063344E">
              <w:t>urządzeń</w:t>
            </w:r>
            <w:r w:rsidR="00206564">
              <w:t xml:space="preserve"> </w:t>
            </w:r>
            <w:r>
              <w:t xml:space="preserve">telekomunikacyjnych i informatycznych oraz usług im towarzyszących; działania edukacyjne </w:t>
            </w:r>
            <w:r w:rsidR="00CB600C">
              <w:br/>
            </w:r>
            <w:r>
              <w:t>i szkoleniowe. W przypadku gdy beneficjentem pozostaje jeden podmiot, we wsk</w:t>
            </w:r>
            <w:r w:rsidR="00BB1ED4">
              <w:t>aźniku należy ująć wartość „1”.</w:t>
            </w:r>
          </w:p>
          <w:p w:rsidR="00BA31B8" w:rsidRPr="000E32B0" w:rsidRDefault="004F04EB" w:rsidP="001E5013">
            <w:pPr>
              <w:spacing w:after="120" w:line="240" w:lineRule="auto"/>
              <w:jc w:val="both"/>
              <w:rPr>
                <w:rFonts w:asciiTheme="minorHAnsi" w:hAnsiTheme="minorHAnsi" w:cs="Arial"/>
              </w:rPr>
            </w:pPr>
            <w:r>
              <w:t xml:space="preserve">W przypadku gdy projekt jest realizowany przez partnerstwo podmiotów, w wartości wskaźnika należy ująć każdy z podmiotów wchodzących </w:t>
            </w:r>
            <w:r w:rsidR="00CB600C">
              <w:br/>
            </w:r>
            <w:r>
              <w:t>w skład partnerstwa, który wdrożył w swojej działalności narzędzia TIK.</w:t>
            </w:r>
            <w:bookmarkStart w:id="0" w:name="_GoBack"/>
            <w:bookmarkEnd w:id="0"/>
          </w:p>
        </w:tc>
      </w:tr>
    </w:tbl>
    <w:p w:rsidR="00855C79" w:rsidRDefault="00855C79"/>
    <w:sectPr w:rsidR="00855C79" w:rsidSect="00683050">
      <w:footerReference w:type="default" r:id="rId8"/>
      <w:pgSz w:w="11906" w:h="16838"/>
      <w:pgMar w:top="1417" w:right="28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5F43" w:rsidRDefault="004D5F43" w:rsidP="00EC621B">
      <w:pPr>
        <w:spacing w:after="0" w:line="240" w:lineRule="auto"/>
      </w:pPr>
      <w:r>
        <w:separator/>
      </w:r>
    </w:p>
  </w:endnote>
  <w:endnote w:type="continuationSeparator" w:id="0">
    <w:p w:rsidR="004D5F43" w:rsidRDefault="004D5F43" w:rsidP="00EC6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Garamond,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21315"/>
      <w:docPartObj>
        <w:docPartGallery w:val="Page Numbers (Bottom of Page)"/>
        <w:docPartUnique/>
      </w:docPartObj>
    </w:sdtPr>
    <w:sdtEndPr/>
    <w:sdtContent>
      <w:p w:rsidR="00C2408C" w:rsidRDefault="004D5F43">
        <w:pPr>
          <w:pStyle w:val="Stopka"/>
          <w:jc w:val="center"/>
        </w:pPr>
        <w:r>
          <w:fldChar w:fldCharType="begin"/>
        </w:r>
        <w:r>
          <w:instrText xml:space="preserve"> PAGE   \* MERGEFORMAT </w:instrText>
        </w:r>
        <w:r>
          <w:fldChar w:fldCharType="separate"/>
        </w:r>
        <w:r w:rsidR="00642FFA">
          <w:rPr>
            <w:noProof/>
          </w:rPr>
          <w:t>1</w:t>
        </w:r>
        <w:r>
          <w:rPr>
            <w:noProof/>
          </w:rPr>
          <w:fldChar w:fldCharType="end"/>
        </w:r>
      </w:p>
    </w:sdtContent>
  </w:sdt>
  <w:p w:rsidR="00C2408C" w:rsidRDefault="00C240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5F43" w:rsidRDefault="004D5F43" w:rsidP="00EC621B">
      <w:pPr>
        <w:spacing w:after="0" w:line="240" w:lineRule="auto"/>
      </w:pPr>
      <w:r>
        <w:separator/>
      </w:r>
    </w:p>
  </w:footnote>
  <w:footnote w:type="continuationSeparator" w:id="0">
    <w:p w:rsidR="004D5F43" w:rsidRDefault="004D5F43" w:rsidP="00EC62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35AC"/>
    <w:multiLevelType w:val="hybridMultilevel"/>
    <w:tmpl w:val="8DE4DC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E244A8"/>
    <w:multiLevelType w:val="hybridMultilevel"/>
    <w:tmpl w:val="B9F81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502712C"/>
    <w:multiLevelType w:val="hybridMultilevel"/>
    <w:tmpl w:val="E95AA6B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44E20DA"/>
    <w:multiLevelType w:val="hybridMultilevel"/>
    <w:tmpl w:val="001A6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B0B2D5B"/>
    <w:multiLevelType w:val="hybridMultilevel"/>
    <w:tmpl w:val="87F09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1F11A0B"/>
    <w:multiLevelType w:val="hybridMultilevel"/>
    <w:tmpl w:val="789EA2B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A3708CA"/>
    <w:multiLevelType w:val="hybridMultilevel"/>
    <w:tmpl w:val="BD54C66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3050"/>
    <w:rsid w:val="00042216"/>
    <w:rsid w:val="00084EAB"/>
    <w:rsid w:val="000B5BFB"/>
    <w:rsid w:val="000D7119"/>
    <w:rsid w:val="000E32B0"/>
    <w:rsid w:val="001030BE"/>
    <w:rsid w:val="001B7B2E"/>
    <w:rsid w:val="001E5013"/>
    <w:rsid w:val="00206564"/>
    <w:rsid w:val="00214049"/>
    <w:rsid w:val="002140B0"/>
    <w:rsid w:val="00242D5C"/>
    <w:rsid w:val="00244AB9"/>
    <w:rsid w:val="002C4A9F"/>
    <w:rsid w:val="002C6948"/>
    <w:rsid w:val="002D6C55"/>
    <w:rsid w:val="002F335D"/>
    <w:rsid w:val="003149C5"/>
    <w:rsid w:val="0032358A"/>
    <w:rsid w:val="003264DD"/>
    <w:rsid w:val="003C4467"/>
    <w:rsid w:val="003E5856"/>
    <w:rsid w:val="003F7E2A"/>
    <w:rsid w:val="00445077"/>
    <w:rsid w:val="0048317E"/>
    <w:rsid w:val="004B40D1"/>
    <w:rsid w:val="004D5F43"/>
    <w:rsid w:val="004F04EB"/>
    <w:rsid w:val="004F2F17"/>
    <w:rsid w:val="00531C6B"/>
    <w:rsid w:val="00563654"/>
    <w:rsid w:val="00581F90"/>
    <w:rsid w:val="00591CF7"/>
    <w:rsid w:val="005D0158"/>
    <w:rsid w:val="005D437C"/>
    <w:rsid w:val="00615FC3"/>
    <w:rsid w:val="0063344E"/>
    <w:rsid w:val="00642FFA"/>
    <w:rsid w:val="00683050"/>
    <w:rsid w:val="006D0844"/>
    <w:rsid w:val="0073298B"/>
    <w:rsid w:val="0073431E"/>
    <w:rsid w:val="00761B2A"/>
    <w:rsid w:val="00767A34"/>
    <w:rsid w:val="00780D47"/>
    <w:rsid w:val="00790ED5"/>
    <w:rsid w:val="00792457"/>
    <w:rsid w:val="007E4DE5"/>
    <w:rsid w:val="00814727"/>
    <w:rsid w:val="00855C79"/>
    <w:rsid w:val="0089594B"/>
    <w:rsid w:val="008B7FF2"/>
    <w:rsid w:val="008D2CCD"/>
    <w:rsid w:val="008F6A86"/>
    <w:rsid w:val="00914FF8"/>
    <w:rsid w:val="009647C1"/>
    <w:rsid w:val="00964E77"/>
    <w:rsid w:val="009F715E"/>
    <w:rsid w:val="00A139A2"/>
    <w:rsid w:val="00A15AEA"/>
    <w:rsid w:val="00A51E92"/>
    <w:rsid w:val="00A714F6"/>
    <w:rsid w:val="00AE602C"/>
    <w:rsid w:val="00B02CBB"/>
    <w:rsid w:val="00B36D7F"/>
    <w:rsid w:val="00B62991"/>
    <w:rsid w:val="00BA31B8"/>
    <w:rsid w:val="00BA58D4"/>
    <w:rsid w:val="00BB1ED4"/>
    <w:rsid w:val="00BE099D"/>
    <w:rsid w:val="00C2408C"/>
    <w:rsid w:val="00C70445"/>
    <w:rsid w:val="00CB02FA"/>
    <w:rsid w:val="00CB600C"/>
    <w:rsid w:val="00CD4F5F"/>
    <w:rsid w:val="00D0522C"/>
    <w:rsid w:val="00DB06B6"/>
    <w:rsid w:val="00DD3D05"/>
    <w:rsid w:val="00DF1639"/>
    <w:rsid w:val="00E01BED"/>
    <w:rsid w:val="00E13FCB"/>
    <w:rsid w:val="00E61954"/>
    <w:rsid w:val="00E717B5"/>
    <w:rsid w:val="00E77943"/>
    <w:rsid w:val="00EA52E4"/>
    <w:rsid w:val="00EC621B"/>
    <w:rsid w:val="00EF215C"/>
    <w:rsid w:val="00F0023E"/>
    <w:rsid w:val="00F61968"/>
    <w:rsid w:val="00F851BD"/>
    <w:rsid w:val="00F92064"/>
    <w:rsid w:val="00FA024C"/>
    <w:rsid w:val="00FA4C23"/>
    <w:rsid w:val="00FB03DE"/>
    <w:rsid w:val="00FB431B"/>
    <w:rsid w:val="00FC2E10"/>
    <w:rsid w:val="00FC69CE"/>
    <w:rsid w:val="00FD1D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D67A7"/>
  <w15:docId w15:val="{8EDC364C-F527-47B4-811A-F8A5840F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rsid w:val="00683050"/>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242D5C"/>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EC621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EC621B"/>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EC621B"/>
    <w:rPr>
      <w:vertAlign w:val="superscript"/>
    </w:rPr>
  </w:style>
  <w:style w:type="paragraph" w:styleId="Nagwek">
    <w:name w:val="header"/>
    <w:basedOn w:val="Normalny"/>
    <w:link w:val="NagwekZnak"/>
    <w:uiPriority w:val="99"/>
    <w:semiHidden/>
    <w:unhideWhenUsed/>
    <w:rsid w:val="00DD3D0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D3D05"/>
    <w:rPr>
      <w:rFonts w:ascii="Calibri" w:eastAsia="Calibri" w:hAnsi="Calibri" w:cs="Times New Roman"/>
    </w:rPr>
  </w:style>
  <w:style w:type="paragraph" w:styleId="Stopka">
    <w:name w:val="footer"/>
    <w:basedOn w:val="Normalny"/>
    <w:link w:val="StopkaZnak"/>
    <w:uiPriority w:val="99"/>
    <w:unhideWhenUsed/>
    <w:rsid w:val="00DD3D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3D0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40919">
      <w:bodyDiv w:val="1"/>
      <w:marLeft w:val="0"/>
      <w:marRight w:val="0"/>
      <w:marTop w:val="0"/>
      <w:marBottom w:val="0"/>
      <w:divBdr>
        <w:top w:val="none" w:sz="0" w:space="0" w:color="auto"/>
        <w:left w:val="none" w:sz="0" w:space="0" w:color="auto"/>
        <w:bottom w:val="none" w:sz="0" w:space="0" w:color="auto"/>
        <w:right w:val="none" w:sz="0" w:space="0" w:color="auto"/>
      </w:divBdr>
    </w:div>
    <w:div w:id="349794938">
      <w:bodyDiv w:val="1"/>
      <w:marLeft w:val="0"/>
      <w:marRight w:val="0"/>
      <w:marTop w:val="0"/>
      <w:marBottom w:val="0"/>
      <w:divBdr>
        <w:top w:val="none" w:sz="0" w:space="0" w:color="auto"/>
        <w:left w:val="none" w:sz="0" w:space="0" w:color="auto"/>
        <w:bottom w:val="none" w:sz="0" w:space="0" w:color="auto"/>
        <w:right w:val="none" w:sz="0" w:space="0" w:color="auto"/>
      </w:divBdr>
      <w:divsChild>
        <w:div w:id="973830166">
          <w:marLeft w:val="0"/>
          <w:marRight w:val="0"/>
          <w:marTop w:val="0"/>
          <w:marBottom w:val="0"/>
          <w:divBdr>
            <w:top w:val="none" w:sz="0" w:space="0" w:color="auto"/>
            <w:left w:val="none" w:sz="0" w:space="0" w:color="auto"/>
            <w:bottom w:val="none" w:sz="0" w:space="0" w:color="auto"/>
            <w:right w:val="none" w:sz="0" w:space="0" w:color="auto"/>
          </w:divBdr>
        </w:div>
        <w:div w:id="2133472078">
          <w:marLeft w:val="0"/>
          <w:marRight w:val="0"/>
          <w:marTop w:val="0"/>
          <w:marBottom w:val="0"/>
          <w:divBdr>
            <w:top w:val="none" w:sz="0" w:space="0" w:color="auto"/>
            <w:left w:val="none" w:sz="0" w:space="0" w:color="auto"/>
            <w:bottom w:val="none" w:sz="0" w:space="0" w:color="auto"/>
            <w:right w:val="none" w:sz="0" w:space="0" w:color="auto"/>
          </w:divBdr>
        </w:div>
        <w:div w:id="1200627156">
          <w:marLeft w:val="0"/>
          <w:marRight w:val="0"/>
          <w:marTop w:val="0"/>
          <w:marBottom w:val="0"/>
          <w:divBdr>
            <w:top w:val="none" w:sz="0" w:space="0" w:color="auto"/>
            <w:left w:val="none" w:sz="0" w:space="0" w:color="auto"/>
            <w:bottom w:val="none" w:sz="0" w:space="0" w:color="auto"/>
            <w:right w:val="none" w:sz="0" w:space="0" w:color="auto"/>
          </w:divBdr>
        </w:div>
        <w:div w:id="1280256353">
          <w:marLeft w:val="0"/>
          <w:marRight w:val="0"/>
          <w:marTop w:val="0"/>
          <w:marBottom w:val="0"/>
          <w:divBdr>
            <w:top w:val="none" w:sz="0" w:space="0" w:color="auto"/>
            <w:left w:val="none" w:sz="0" w:space="0" w:color="auto"/>
            <w:bottom w:val="none" w:sz="0" w:space="0" w:color="auto"/>
            <w:right w:val="none" w:sz="0" w:space="0" w:color="auto"/>
          </w:divBdr>
        </w:div>
        <w:div w:id="1915433634">
          <w:marLeft w:val="0"/>
          <w:marRight w:val="0"/>
          <w:marTop w:val="0"/>
          <w:marBottom w:val="0"/>
          <w:divBdr>
            <w:top w:val="none" w:sz="0" w:space="0" w:color="auto"/>
            <w:left w:val="none" w:sz="0" w:space="0" w:color="auto"/>
            <w:bottom w:val="none" w:sz="0" w:space="0" w:color="auto"/>
            <w:right w:val="none" w:sz="0" w:space="0" w:color="auto"/>
          </w:divBdr>
        </w:div>
        <w:div w:id="252058949">
          <w:marLeft w:val="0"/>
          <w:marRight w:val="0"/>
          <w:marTop w:val="0"/>
          <w:marBottom w:val="0"/>
          <w:divBdr>
            <w:top w:val="none" w:sz="0" w:space="0" w:color="auto"/>
            <w:left w:val="none" w:sz="0" w:space="0" w:color="auto"/>
            <w:bottom w:val="none" w:sz="0" w:space="0" w:color="auto"/>
            <w:right w:val="none" w:sz="0" w:space="0" w:color="auto"/>
          </w:divBdr>
        </w:div>
        <w:div w:id="44372618">
          <w:marLeft w:val="0"/>
          <w:marRight w:val="0"/>
          <w:marTop w:val="0"/>
          <w:marBottom w:val="0"/>
          <w:divBdr>
            <w:top w:val="none" w:sz="0" w:space="0" w:color="auto"/>
            <w:left w:val="none" w:sz="0" w:space="0" w:color="auto"/>
            <w:bottom w:val="none" w:sz="0" w:space="0" w:color="auto"/>
            <w:right w:val="none" w:sz="0" w:space="0" w:color="auto"/>
          </w:divBdr>
        </w:div>
        <w:div w:id="1209144235">
          <w:marLeft w:val="0"/>
          <w:marRight w:val="0"/>
          <w:marTop w:val="0"/>
          <w:marBottom w:val="0"/>
          <w:divBdr>
            <w:top w:val="none" w:sz="0" w:space="0" w:color="auto"/>
            <w:left w:val="none" w:sz="0" w:space="0" w:color="auto"/>
            <w:bottom w:val="none" w:sz="0" w:space="0" w:color="auto"/>
            <w:right w:val="none" w:sz="0" w:space="0" w:color="auto"/>
          </w:divBdr>
        </w:div>
        <w:div w:id="448553214">
          <w:marLeft w:val="0"/>
          <w:marRight w:val="0"/>
          <w:marTop w:val="0"/>
          <w:marBottom w:val="0"/>
          <w:divBdr>
            <w:top w:val="none" w:sz="0" w:space="0" w:color="auto"/>
            <w:left w:val="none" w:sz="0" w:space="0" w:color="auto"/>
            <w:bottom w:val="none" w:sz="0" w:space="0" w:color="auto"/>
            <w:right w:val="none" w:sz="0" w:space="0" w:color="auto"/>
          </w:divBdr>
        </w:div>
        <w:div w:id="189534302">
          <w:marLeft w:val="0"/>
          <w:marRight w:val="0"/>
          <w:marTop w:val="0"/>
          <w:marBottom w:val="0"/>
          <w:divBdr>
            <w:top w:val="none" w:sz="0" w:space="0" w:color="auto"/>
            <w:left w:val="none" w:sz="0" w:space="0" w:color="auto"/>
            <w:bottom w:val="none" w:sz="0" w:space="0" w:color="auto"/>
            <w:right w:val="none" w:sz="0" w:space="0" w:color="auto"/>
          </w:divBdr>
        </w:div>
        <w:div w:id="1831751993">
          <w:marLeft w:val="0"/>
          <w:marRight w:val="0"/>
          <w:marTop w:val="0"/>
          <w:marBottom w:val="0"/>
          <w:divBdr>
            <w:top w:val="none" w:sz="0" w:space="0" w:color="auto"/>
            <w:left w:val="none" w:sz="0" w:space="0" w:color="auto"/>
            <w:bottom w:val="none" w:sz="0" w:space="0" w:color="auto"/>
            <w:right w:val="none" w:sz="0" w:space="0" w:color="auto"/>
          </w:divBdr>
        </w:div>
        <w:div w:id="426460046">
          <w:marLeft w:val="0"/>
          <w:marRight w:val="0"/>
          <w:marTop w:val="0"/>
          <w:marBottom w:val="0"/>
          <w:divBdr>
            <w:top w:val="none" w:sz="0" w:space="0" w:color="auto"/>
            <w:left w:val="none" w:sz="0" w:space="0" w:color="auto"/>
            <w:bottom w:val="none" w:sz="0" w:space="0" w:color="auto"/>
            <w:right w:val="none" w:sz="0" w:space="0" w:color="auto"/>
          </w:divBdr>
        </w:div>
        <w:div w:id="1167987841">
          <w:marLeft w:val="0"/>
          <w:marRight w:val="0"/>
          <w:marTop w:val="0"/>
          <w:marBottom w:val="0"/>
          <w:divBdr>
            <w:top w:val="none" w:sz="0" w:space="0" w:color="auto"/>
            <w:left w:val="none" w:sz="0" w:space="0" w:color="auto"/>
            <w:bottom w:val="none" w:sz="0" w:space="0" w:color="auto"/>
            <w:right w:val="none" w:sz="0" w:space="0" w:color="auto"/>
          </w:divBdr>
        </w:div>
        <w:div w:id="921336377">
          <w:marLeft w:val="0"/>
          <w:marRight w:val="0"/>
          <w:marTop w:val="0"/>
          <w:marBottom w:val="0"/>
          <w:divBdr>
            <w:top w:val="none" w:sz="0" w:space="0" w:color="auto"/>
            <w:left w:val="none" w:sz="0" w:space="0" w:color="auto"/>
            <w:bottom w:val="none" w:sz="0" w:space="0" w:color="auto"/>
            <w:right w:val="none" w:sz="0" w:space="0" w:color="auto"/>
          </w:divBdr>
        </w:div>
        <w:div w:id="107240129">
          <w:marLeft w:val="0"/>
          <w:marRight w:val="0"/>
          <w:marTop w:val="0"/>
          <w:marBottom w:val="0"/>
          <w:divBdr>
            <w:top w:val="none" w:sz="0" w:space="0" w:color="auto"/>
            <w:left w:val="none" w:sz="0" w:space="0" w:color="auto"/>
            <w:bottom w:val="none" w:sz="0" w:space="0" w:color="auto"/>
            <w:right w:val="none" w:sz="0" w:space="0" w:color="auto"/>
          </w:divBdr>
        </w:div>
        <w:div w:id="1166899644">
          <w:marLeft w:val="0"/>
          <w:marRight w:val="0"/>
          <w:marTop w:val="0"/>
          <w:marBottom w:val="0"/>
          <w:divBdr>
            <w:top w:val="none" w:sz="0" w:space="0" w:color="auto"/>
            <w:left w:val="none" w:sz="0" w:space="0" w:color="auto"/>
            <w:bottom w:val="none" w:sz="0" w:space="0" w:color="auto"/>
            <w:right w:val="none" w:sz="0" w:space="0" w:color="auto"/>
          </w:divBdr>
        </w:div>
        <w:div w:id="1563520994">
          <w:marLeft w:val="0"/>
          <w:marRight w:val="0"/>
          <w:marTop w:val="0"/>
          <w:marBottom w:val="0"/>
          <w:divBdr>
            <w:top w:val="none" w:sz="0" w:space="0" w:color="auto"/>
            <w:left w:val="none" w:sz="0" w:space="0" w:color="auto"/>
            <w:bottom w:val="none" w:sz="0" w:space="0" w:color="auto"/>
            <w:right w:val="none" w:sz="0" w:space="0" w:color="auto"/>
          </w:divBdr>
        </w:div>
        <w:div w:id="1424911961">
          <w:marLeft w:val="0"/>
          <w:marRight w:val="0"/>
          <w:marTop w:val="0"/>
          <w:marBottom w:val="0"/>
          <w:divBdr>
            <w:top w:val="none" w:sz="0" w:space="0" w:color="auto"/>
            <w:left w:val="none" w:sz="0" w:space="0" w:color="auto"/>
            <w:bottom w:val="none" w:sz="0" w:space="0" w:color="auto"/>
            <w:right w:val="none" w:sz="0" w:space="0" w:color="auto"/>
          </w:divBdr>
        </w:div>
        <w:div w:id="1907956544">
          <w:marLeft w:val="0"/>
          <w:marRight w:val="0"/>
          <w:marTop w:val="0"/>
          <w:marBottom w:val="0"/>
          <w:divBdr>
            <w:top w:val="none" w:sz="0" w:space="0" w:color="auto"/>
            <w:left w:val="none" w:sz="0" w:space="0" w:color="auto"/>
            <w:bottom w:val="none" w:sz="0" w:space="0" w:color="auto"/>
            <w:right w:val="none" w:sz="0" w:space="0" w:color="auto"/>
          </w:divBdr>
        </w:div>
        <w:div w:id="1795830469">
          <w:marLeft w:val="0"/>
          <w:marRight w:val="0"/>
          <w:marTop w:val="0"/>
          <w:marBottom w:val="0"/>
          <w:divBdr>
            <w:top w:val="none" w:sz="0" w:space="0" w:color="auto"/>
            <w:left w:val="none" w:sz="0" w:space="0" w:color="auto"/>
            <w:bottom w:val="none" w:sz="0" w:space="0" w:color="auto"/>
            <w:right w:val="none" w:sz="0" w:space="0" w:color="auto"/>
          </w:divBdr>
        </w:div>
        <w:div w:id="1246572435">
          <w:marLeft w:val="0"/>
          <w:marRight w:val="0"/>
          <w:marTop w:val="0"/>
          <w:marBottom w:val="0"/>
          <w:divBdr>
            <w:top w:val="none" w:sz="0" w:space="0" w:color="auto"/>
            <w:left w:val="none" w:sz="0" w:space="0" w:color="auto"/>
            <w:bottom w:val="none" w:sz="0" w:space="0" w:color="auto"/>
            <w:right w:val="none" w:sz="0" w:space="0" w:color="auto"/>
          </w:divBdr>
        </w:div>
        <w:div w:id="635599044">
          <w:marLeft w:val="0"/>
          <w:marRight w:val="0"/>
          <w:marTop w:val="0"/>
          <w:marBottom w:val="0"/>
          <w:divBdr>
            <w:top w:val="none" w:sz="0" w:space="0" w:color="auto"/>
            <w:left w:val="none" w:sz="0" w:space="0" w:color="auto"/>
            <w:bottom w:val="none" w:sz="0" w:space="0" w:color="auto"/>
            <w:right w:val="none" w:sz="0" w:space="0" w:color="auto"/>
          </w:divBdr>
        </w:div>
        <w:div w:id="642588328">
          <w:marLeft w:val="0"/>
          <w:marRight w:val="0"/>
          <w:marTop w:val="0"/>
          <w:marBottom w:val="0"/>
          <w:divBdr>
            <w:top w:val="none" w:sz="0" w:space="0" w:color="auto"/>
            <w:left w:val="none" w:sz="0" w:space="0" w:color="auto"/>
            <w:bottom w:val="none" w:sz="0" w:space="0" w:color="auto"/>
            <w:right w:val="none" w:sz="0" w:space="0" w:color="auto"/>
          </w:divBdr>
        </w:div>
      </w:divsChild>
    </w:div>
    <w:div w:id="445123861">
      <w:bodyDiv w:val="1"/>
      <w:marLeft w:val="0"/>
      <w:marRight w:val="0"/>
      <w:marTop w:val="0"/>
      <w:marBottom w:val="0"/>
      <w:divBdr>
        <w:top w:val="none" w:sz="0" w:space="0" w:color="auto"/>
        <w:left w:val="none" w:sz="0" w:space="0" w:color="auto"/>
        <w:bottom w:val="none" w:sz="0" w:space="0" w:color="auto"/>
        <w:right w:val="none" w:sz="0" w:space="0" w:color="auto"/>
      </w:divBdr>
    </w:div>
    <w:div w:id="528029243">
      <w:bodyDiv w:val="1"/>
      <w:marLeft w:val="0"/>
      <w:marRight w:val="0"/>
      <w:marTop w:val="0"/>
      <w:marBottom w:val="0"/>
      <w:divBdr>
        <w:top w:val="none" w:sz="0" w:space="0" w:color="auto"/>
        <w:left w:val="none" w:sz="0" w:space="0" w:color="auto"/>
        <w:bottom w:val="none" w:sz="0" w:space="0" w:color="auto"/>
        <w:right w:val="none" w:sz="0" w:space="0" w:color="auto"/>
      </w:divBdr>
    </w:div>
    <w:div w:id="21334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310C4F-C5B2-42F8-AD8A-D965392FF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8</Pages>
  <Words>2273</Words>
  <Characters>13643</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Przemysław Mentkowski</cp:lastModifiedBy>
  <cp:revision>65</cp:revision>
  <dcterms:created xsi:type="dcterms:W3CDTF">2017-11-30T11:26:00Z</dcterms:created>
  <dcterms:modified xsi:type="dcterms:W3CDTF">2018-05-15T10:49:00Z</dcterms:modified>
</cp:coreProperties>
</file>